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100"/>
      </w:pPr>
      <w:r>
        <w:t xml:space="preserve">PROTOCOLO DE ORGANIZACIÓN Y DOCUMENTACIÓN DEL REGISTRO HORARIO</w:t>
      </w:r>
    </w:p>
    <w:p>
      <w:pPr>
        <w:spacing w:after="300"/>
      </w:pPr>
      <w:r>
        <w:rPr>
          <w:i/>
          <w:iCs/>
          <w:color w:val="736C64"/>
        </w:rPr>
        <w:t xml:space="preserve">Plantilla para cumplimentar por la empresa — FiChar by CalmaLogic</w:t>
      </w:r>
    </w:p>
    <w:p>
      <w:pPr>
        <w:spacing w:after="140"/>
      </w:pPr>
      <w:r>
        <w:rPr>
          <w:i/>
          <w:iCs/>
        </w:rPr>
        <w:t xml:space="preserve">Este documento es una plantilla de partida. La normativa en preparación (real decreto de registro horario, previsto antes de que finalice julio de 2026) exige que cada empresa cuente con un protocolo propio de organización y documentación del sistema de registro, elaborado previa consulta con la representación legal de los trabajadores (RLT) cuando exista. Sustituye los espacios en blanco por los datos reales de tu empresa antes de dar por válido este protocolo.</w:t>
      </w:r>
    </w:p>
    <w:p>
      <w:pPr>
        <w:pBdr>
          <w:bottom w:val="single" w:color="CCCCCC" w:sz="6" w:space="1"/>
        </w:pBdr>
        <w:spacing w:after="200"/>
      </w:pPr>
    </w:p>
    <w:p>
      <w:pPr>
        <w:pStyle w:val="Heading1"/>
        <w:spacing w:after="150" w:before="300"/>
      </w:pPr>
      <w:r>
        <w:t xml:space="preserve">1. Objeto y ámbito de aplicación</w:t>
      </w:r>
    </w:p>
    <w:p>
      <w:pPr>
        <w:spacing w:after="140"/>
      </w:pPr>
      <w:r>
        <w:t xml:space="preserve">El presente protocolo regula el sistema de registro de jornada de la empresa, en cumplimiento del artículo 34.9 del Estatuto de los Trabajadores y de la normativa de desarrollo vigente en cada momento.</w:t>
      </w:r>
    </w:p>
    <w:p>
      <w:pPr>
        <w:spacing w:after="160"/>
      </w:pPr>
      <w:r>
        <w:rPr>
          <w:b/>
          <w:bCs/>
        </w:rPr>
        <w:t xml:space="preserve">Razón social de la empresa: </w:t>
      </w:r>
      <w:r>
        <w:rPr>
          <w:color w:val="999999"/>
        </w:rPr>
        <w:t xml:space="preserve">_______________________________________________</w:t>
      </w:r>
    </w:p>
    <w:p>
      <w:pPr>
        <w:spacing w:after="160"/>
      </w:pPr>
      <w:r>
        <w:rPr>
          <w:b/>
          <w:bCs/>
        </w:rPr>
        <w:t xml:space="preserve">CIF / NIF: </w:t>
      </w:r>
      <w:r>
        <w:rPr>
          <w:color w:val="999999"/>
        </w:rPr>
        <w:t xml:space="preserve">_______________________________________________</w:t>
      </w:r>
    </w:p>
    <w:p>
      <w:pPr>
        <w:spacing w:after="160"/>
      </w:pPr>
      <w:r>
        <w:rPr>
          <w:b/>
          <w:bCs/>
        </w:rPr>
        <w:t xml:space="preserve">Centro o centros de trabajo a los que aplica: </w:t>
      </w:r>
      <w:r>
        <w:rPr>
          <w:color w:val="999999"/>
        </w:rPr>
        <w:t xml:space="preserve">_______________________________________________</w:t>
      </w:r>
    </w:p>
    <w:p>
      <w:pPr>
        <w:spacing w:after="140"/>
      </w:pPr>
      <w:r>
        <w:t xml:space="preserve">Este protocolo es de aplicación a la totalidad de la plantilla, con independencia de su modalidad contractual (jornada completa o parcial) y de su modalidad de prestación (presencial o a distancia).</w:t>
      </w:r>
    </w:p>
    <w:p>
      <w:pPr>
        <w:pStyle w:val="Heading1"/>
        <w:spacing w:after="150" w:before="300"/>
      </w:pPr>
      <w:r>
        <w:t xml:space="preserve">2. Sistema de registro utilizado</w:t>
      </w:r>
    </w:p>
    <w:p>
      <w:pPr>
        <w:spacing w:after="140"/>
      </w:pPr>
      <w:r>
        <w:t xml:space="preserve">La empresa utiliza la aplicación FiChar by CalmaLogic como sistema digital de registro de jornada. Sus características principales son:</w:t>
      </w:r>
    </w:p>
    <w:p>
      <w:pPr>
        <w:pStyle w:val="ListParagraph"/>
        <w:numPr>
          <w:ilvl w:val="0"/>
          <w:numId w:val="1"/>
        </w:numPr>
        <w:spacing w:after="80"/>
      </w:pPr>
      <w:r>
        <w:t xml:space="preserve">Registro digital de entradas, salidas, pausas y reanudaciones, con sello de fecha y hora.</w:t>
      </w:r>
    </w:p>
    <w:p>
      <w:pPr>
        <w:pStyle w:val="ListParagraph"/>
        <w:numPr>
          <w:ilvl w:val="0"/>
          <w:numId w:val="1"/>
        </w:numPr>
        <w:spacing w:after="80"/>
      </w:pPr>
      <w:r>
        <w:t xml:space="preserve">Almacenamiento de los registros en una cuenta de Google Drive propia de la empresa, no en servidores de terceros.</w:t>
      </w:r>
    </w:p>
    <w:p>
      <w:pPr>
        <w:pStyle w:val="ListParagraph"/>
        <w:numPr>
          <w:ilvl w:val="0"/>
          <w:numId w:val="1"/>
        </w:numPr>
        <w:spacing w:after="80"/>
      </w:pPr>
      <w:r>
        <w:t xml:space="preserve">Cada registro incorpora un hash de integridad que permite verificar que no ha sido alterado fuera del circuito de corrección auditado.</w:t>
      </w:r>
    </w:p>
    <w:p>
      <w:pPr>
        <w:pStyle w:val="ListParagraph"/>
        <w:numPr>
          <w:ilvl w:val="0"/>
          <w:numId w:val="1"/>
        </w:numPr>
        <w:spacing w:after="80"/>
      </w:pPr>
      <w:r>
        <w:t xml:space="preserve">Distinción de la modalidad de prestación (presencial / teletrabajo) en cada fichaje.</w:t>
      </w:r>
    </w:p>
    <w:p>
      <w:pPr>
        <w:pStyle w:val="ListParagraph"/>
        <w:numPr>
          <w:ilvl w:val="0"/>
          <w:numId w:val="1"/>
        </w:numPr>
        <w:spacing w:after="80"/>
      </w:pPr>
      <w:r>
        <w:t xml:space="preserve">Registro del régimen de jornada (completa / parcial) y de las horas pactadas de cada persona trabajadora.</w:t>
      </w:r>
    </w:p>
    <w:p>
      <w:pPr>
        <w:pStyle w:val="ListParagraph"/>
        <w:numPr>
          <w:ilvl w:val="0"/>
          <w:numId w:val="1"/>
        </w:numPr>
        <w:spacing w:after="80"/>
      </w:pPr>
      <w:r>
        <w:t xml:space="preserve">Desglose automático de horas ordinarias, extraordinarias y complementarias en los informes mensuales.</w:t>
      </w:r>
    </w:p>
    <w:p>
      <w:pPr>
        <w:pStyle w:val="ListParagraph"/>
        <w:numPr>
          <w:ilvl w:val="0"/>
          <w:numId w:val="1"/>
        </w:numPr>
        <w:spacing w:after="80"/>
      </w:pPr>
      <w:r>
        <w:t xml:space="preserve">Modo kiosko opcional para centros con un único punto físico de fichaje (tablet compartida con acceso por PIN individual).</w:t>
      </w:r>
    </w:p>
    <w:p>
      <w:pPr>
        <w:pStyle w:val="Heading1"/>
        <w:spacing w:after="150" w:before="300"/>
      </w:pPr>
      <w:r>
        <w:t xml:space="preserve">3. Acceso al sistema</w:t>
      </w:r>
    </w:p>
    <w:p>
      <w:pPr>
        <w:spacing w:after="140"/>
      </w:pPr>
      <w:r>
        <w:t xml:space="preserve">El acceso a la aplicación se realiza mediante:</w:t>
      </w:r>
    </w:p>
    <w:p>
      <w:pPr>
        <w:pStyle w:val="ListParagraph"/>
        <w:numPr>
          <w:ilvl w:val="0"/>
          <w:numId w:val="1"/>
        </w:numPr>
        <w:spacing w:after="80"/>
      </w:pPr>
      <w:r>
        <w:t xml:space="preserve">Personal trabajador: correo electrónico y PIN personal, o mediante tarjeta QR individual.</w:t>
      </w:r>
    </w:p>
    <w:p>
      <w:pPr>
        <w:pStyle w:val="ListParagraph"/>
        <w:numPr>
          <w:ilvl w:val="0"/>
          <w:numId w:val="1"/>
        </w:numPr>
        <w:spacing w:after="80"/>
      </w:pPr>
      <w:r>
        <w:t xml:space="preserve">Administración: cuenta de Google autorizada, vinculada a la licencia de la empresa.</w:t>
      </w:r>
    </w:p>
    <w:p>
      <w:pPr>
        <w:pStyle w:val="ListParagraph"/>
        <w:numPr>
          <w:ilvl w:val="0"/>
          <w:numId w:val="1"/>
        </w:numPr>
        <w:spacing w:after="80"/>
      </w:pPr>
      <w:r>
        <w:t xml:space="preserve">Representación legal de los trabajadores (cuando exista): acceso de solo lectura al listado de casos en discrepancia, sin visibilidad de datos personales no necesarios.</w:t>
      </w:r>
    </w:p>
    <w:p>
      <w:pPr>
        <w:spacing w:after="160"/>
      </w:pPr>
      <w:r>
        <w:rPr>
          <w:b/>
          <w:bCs/>
        </w:rPr>
        <w:t xml:space="preserve">Persona(s) responsable(s) de la administración del sistema: </w:t>
      </w:r>
      <w:r>
        <w:rPr>
          <w:color w:val="999999"/>
        </w:rPr>
        <w:t xml:space="preserve">_______________________________________________</w:t>
      </w:r>
    </w:p>
    <w:p>
      <w:pPr>
        <w:spacing w:after="160"/>
      </w:pPr>
      <w:r>
        <w:rPr>
          <w:b/>
          <w:bCs/>
        </w:rPr>
        <w:t xml:space="preserve">Persona(s) designada(s) como RLT con acceso al sistema (si procede): </w:t>
      </w:r>
      <w:r>
        <w:rPr>
          <w:color w:val="999999"/>
        </w:rPr>
        <w:t xml:space="preserve">_______________________________________________</w:t>
      </w:r>
    </w:p>
    <w:p>
      <w:pPr>
        <w:pStyle w:val="Heading1"/>
        <w:spacing w:after="150" w:before="300"/>
      </w:pPr>
      <w:r>
        <w:t xml:space="preserve">4. Procedimiento de fichaje</w:t>
      </w:r>
    </w:p>
    <w:p>
      <w:pPr>
        <w:spacing w:after="140"/>
      </w:pPr>
      <w:r>
        <w:t xml:space="preserve">Cada persona trabajadora debe registrar el inicio y el fin de su jornada, así como las pausas que realice, en el momento en que se produzcan, indicando si la prestación es presencial o a distancia.</w:t>
      </w:r>
    </w:p>
    <w:p>
      <w:pPr>
        <w:spacing w:after="140"/>
      </w:pPr>
      <w:r>
        <w:t xml:space="preserve">En caso de olvido, la propia persona trabajadora puede añadir un fichaje manual indicando el motivo. Este registro queda marcado como pendiente de revisión por la empresa hasta su aprobación expresa.</w:t>
      </w:r>
    </w:p>
    <w:p>
      <w:pPr>
        <w:pStyle w:val="Heading1"/>
        <w:spacing w:after="150" w:before="300"/>
      </w:pPr>
      <w:r>
        <w:t xml:space="preserve">5. Procedimiento de corrección de errores</w:t>
      </w:r>
    </w:p>
    <w:p>
      <w:pPr>
        <w:spacing w:after="140"/>
      </w:pPr>
      <w:r>
        <w:t xml:space="preserve">Ninguna corrección de un registro se aplica de forma unilateral por la empresa. El procedimiento es el siguiente:</w:t>
      </w:r>
    </w:p>
    <w:p>
      <w:pPr>
        <w:pStyle w:val="ListParagraph"/>
        <w:numPr>
          <w:ilvl w:val="0"/>
          <w:numId w:val="1"/>
        </w:numPr>
        <w:spacing w:after="80"/>
      </w:pPr>
      <w:r>
        <w:t xml:space="preserve">La persona trabajadora (o, en su caso, la empresa) propone la corrección indicando el motivo.</w:t>
      </w:r>
    </w:p>
    <w:p>
      <w:pPr>
        <w:pStyle w:val="ListParagraph"/>
        <w:numPr>
          <w:ilvl w:val="0"/>
          <w:numId w:val="1"/>
        </w:numPr>
        <w:spacing w:after="80"/>
      </w:pPr>
      <w:r>
        <w:t xml:space="preserve">La corrección queda pendiente de aceptación por la otra parte.</w:t>
      </w:r>
    </w:p>
    <w:p>
      <w:pPr>
        <w:pStyle w:val="ListParagraph"/>
        <w:numPr>
          <w:ilvl w:val="0"/>
          <w:numId w:val="1"/>
        </w:numPr>
        <w:spacing w:after="80"/>
      </w:pPr>
      <w:r>
        <w:t xml:space="preserve">Si se acepta, el registro se actualiza y queda constancia de quién decidió y cuándo.</w:t>
      </w:r>
    </w:p>
    <w:p>
      <w:pPr>
        <w:pStyle w:val="ListParagraph"/>
        <w:numPr>
          <w:ilvl w:val="0"/>
          <w:numId w:val="1"/>
        </w:numPr>
        <w:spacing w:after="80"/>
      </w:pPr>
      <w:r>
        <w:t xml:space="preserve">Si se rechaza, el registro se marca en discrepancia y se traslada a la representación legal de los trabajadores para su mediación.</w:t>
      </w:r>
    </w:p>
    <w:p>
      <w:pPr>
        <w:pStyle w:val="ListParagraph"/>
        <w:numPr>
          <w:ilvl w:val="0"/>
          <w:numId w:val="1"/>
        </w:numPr>
        <w:spacing w:after="80"/>
      </w:pPr>
      <w:r>
        <w:t xml:space="preserve">Si la empresa no cuenta con representación legal de los trabajadores, la discrepancia se resuelve directamente entre administración y persona trabajadora, dejando constancia escrita del acuerdo alcanzado. La mediación sindical formal para estos casos está pendiente de que la normativa la desarrolle con mayor detalle.</w:t>
      </w:r>
    </w:p>
    <w:p>
      <w:pPr>
        <w:pStyle w:val="ListParagraph"/>
        <w:numPr>
          <w:ilvl w:val="0"/>
          <w:numId w:val="1"/>
        </w:numPr>
        <w:spacing w:after="80"/>
      </w:pPr>
      <w:r>
        <w:t xml:space="preserve">Todo el histórico de propuestas, aceptaciones y rechazos queda conservado, sin que ninguna versión anterior se elimine.</w:t>
      </w:r>
    </w:p>
    <w:p>
      <w:pPr>
        <w:pStyle w:val="Heading1"/>
        <w:spacing w:after="150" w:before="300"/>
      </w:pPr>
      <w:r>
        <w:t xml:space="preserve">6. Conservación y custodia de los datos</w:t>
      </w:r>
    </w:p>
    <w:p>
      <w:pPr>
        <w:spacing w:after="140"/>
      </w:pPr>
      <w:r>
        <w:t xml:space="preserve">Los registros se conservarán durante un mínimo de cuatro años, a disposición de las personas trabajadoras, sus representantes legales y la Inspección de Trabajo y Seguridad Social, conforme al artículo 34.9 ET. Los registros de antigüedad superior a cuatro años se conservan igualmente como archivo histórico, sin que el sistema elimine automáticamente ningún dato.</w:t>
      </w:r>
    </w:p>
    <w:p>
      <w:pPr>
        <w:spacing w:after="160"/>
      </w:pPr>
      <w:r>
        <w:rPr>
          <w:b/>
          <w:bCs/>
        </w:rPr>
        <w:t xml:space="preserve">Persona responsable de la custodia de la cuenta de Drive donde se almacenan los registros: </w:t>
      </w:r>
      <w:r>
        <w:rPr>
          <w:color w:val="999999"/>
        </w:rPr>
        <w:t xml:space="preserve">_______________________________________________</w:t>
      </w:r>
    </w:p>
    <w:p>
      <w:pPr>
        <w:pStyle w:val="Heading1"/>
        <w:spacing w:after="150" w:before="300"/>
      </w:pPr>
      <w:r>
        <w:t xml:space="preserve">7. Acceso de las personas trabajadoras y su representación legal</w:t>
      </w:r>
    </w:p>
    <w:p>
      <w:pPr>
        <w:spacing w:after="140"/>
      </w:pPr>
      <w:r>
        <w:t xml:space="preserve">Cada persona trabajadora puede consultar y exportar en cualquier momento su propio historial de fichajes. La representación legal de los trabajadores dispone de un acceso independiente, limitado a los casos de discrepancia abiertos, sin acceso a datos personales que no resulten necesarios para su función.</w:t>
      </w:r>
    </w:p>
    <w:p>
      <w:pPr>
        <w:pStyle w:val="Heading1"/>
        <w:spacing w:after="150" w:before="300"/>
      </w:pPr>
      <w:r>
        <w:t xml:space="preserve">8. Acceso de la Inspección de Trabajo</w:t>
      </w:r>
    </w:p>
    <w:p>
      <w:pPr>
        <w:spacing w:after="140"/>
      </w:pPr>
      <w:r>
        <w:t xml:space="preserve">A fecha de este documento, la puesta a disposición de la Inspección de Trabajo se realiza mediante la exportación de un informe en formato Excel, generado por la administración de la empresa a petición de la Inspección. En cuanto se publique el estándar oficial de interoperabilidad remota previsto en la normativa, este protocolo se actualizará para reflejar el nuevo procedimiento.</w:t>
      </w:r>
    </w:p>
    <w:p>
      <w:pPr>
        <w:pStyle w:val="Heading1"/>
        <w:spacing w:after="150" w:before="300"/>
      </w:pPr>
      <w:r>
        <w:t xml:space="preserve">9. Consulta previa a la representación legal de los trabajadores</w:t>
      </w:r>
    </w:p>
    <w:p>
      <w:pPr>
        <w:spacing w:after="140"/>
      </w:pPr>
      <w:r>
        <w:t xml:space="preserve">Conforme exige la normativa, este protocolo ha sido puesto en conocimiento de la representación legal de los trabajadores con carácter previo a su implantación.</w:t>
      </w:r>
    </w:p>
    <w:p>
      <w:pPr>
        <w:spacing w:after="160"/>
      </w:pPr>
      <w:r>
        <w:rPr>
          <w:b/>
          <w:bCs/>
        </w:rPr>
        <w:t xml:space="preserve">Fecha de la consulta / reunión con la RLT: </w:t>
      </w:r>
      <w:r>
        <w:rPr>
          <w:color w:val="999999"/>
        </w:rPr>
        <w:t xml:space="preserve">_______________________________________________</w:t>
      </w:r>
    </w:p>
    <w:p>
      <w:pPr>
        <w:spacing w:after="160"/>
      </w:pPr>
      <w:r>
        <w:rPr>
          <w:b/>
          <w:bCs/>
        </w:rPr>
        <w:t xml:space="preserve">Resultado de la consulta (acuerdo, observaciones, etc.): </w:t>
      </w:r>
      <w:r>
        <w:rPr>
          <w:color w:val="999999"/>
        </w:rPr>
        <w:t xml:space="preserve">_______________________________________________</w:t>
      </w:r>
    </w:p>
    <w:p>
      <w:pPr>
        <w:spacing w:after="160"/>
      </w:pPr>
      <w:r>
        <w:rPr>
          <w:b/>
          <w:bCs/>
        </w:rPr>
        <w:t xml:space="preserve">Firma de la representación legal de los trabajadores (si procede): </w:t>
      </w:r>
      <w:r>
        <w:rPr>
          <w:color w:val="999999"/>
        </w:rPr>
        <w:t xml:space="preserve">_______________________________________________</w:t>
      </w:r>
    </w:p>
    <w:p>
      <w:pPr>
        <w:spacing w:after="160"/>
      </w:pPr>
      <w:r>
        <w:rPr>
          <w:b/>
          <w:bCs/>
        </w:rPr>
        <w:t xml:space="preserve">Firma de la empresa: </w:t>
      </w:r>
      <w:r>
        <w:rPr>
          <w:color w:val="999999"/>
        </w:rPr>
        <w:t xml:space="preserve">_______________________________________________</w:t>
      </w:r>
    </w:p>
    <w:p>
      <w:pPr>
        <w:pStyle w:val="Heading1"/>
        <w:spacing w:after="150" w:before="300"/>
      </w:pPr>
      <w:r>
        <w:t xml:space="preserve">10. Protección de datos</w:t>
      </w:r>
    </w:p>
    <w:p>
      <w:pPr>
        <w:spacing w:after="140"/>
      </w:pPr>
      <w:r>
        <w:t xml:space="preserve">El tratamiento de los datos de registro horario se ajusta a la normativa de protección de datos vigente (Reglamento (UE) 2016/679 y LOPDGDD). Los datos se utilizan exclusivamente para el control del cumplimiento de la jornada pactada y no se ceden a terceros salvo obligación legal.</w:t>
      </w:r>
    </w:p>
    <w:p>
      <w:pPr>
        <w:pBdr>
          <w:bottom w:val="single" w:color="CCCCCC" w:sz="6" w:space="1"/>
        </w:pBdr>
        <w:spacing w:after="200"/>
      </w:pPr>
    </w:p>
    <w:p>
      <w:r>
        <w:rPr>
          <w:i/>
          <w:iCs/>
          <w:color w:val="999999"/>
          <w:sz w:val="18"/>
          <w:szCs w:val="18"/>
        </w:rPr>
        <w:t xml:space="preserve">Documento generado como plantilla de partida por FiChar by CalmaLogic. No constituye asesoramiento legal — se recomienda su revisión por un asesor laboral antes de su implantación definitiva.</w:t>
      </w:r>
    </w:p>
    <w:sectPr>
      <w:pgSz w:w="11907" w:h="16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2026-07-22T11:58:30.364Z</dcterms:created>
  <dcterms:modified xsi:type="dcterms:W3CDTF">2026-07-22T11:58:30.364Z</dcterms:modified>
</cp:coreProperties>
</file>

<file path=docProps/custom.xml><?xml version="1.0" encoding="utf-8"?>
<Properties xmlns="http://schemas.openxmlformats.org/officeDocument/2006/custom-properties" xmlns:vt="http://schemas.openxmlformats.org/officeDocument/2006/docPropsVTypes"/>
</file>