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2400"/>
      </w:pPr>
      <w:r>
        <w:rPr>
          <w:rFonts w:ascii="Arial" w:cs="Arial" w:eastAsia="Arial" w:hAnsi="Arial"/>
          <w:b/>
          <w:bCs/>
          <w:color w:val="FF5A2C"/>
          <w:sz w:val="96"/>
          <w:szCs w:val="96"/>
        </w:rPr>
        <w:t xml:space="preserve">FiChar</w:t>
      </w:r>
    </w:p>
    <w:p>
      <w:pPr>
        <w:spacing w:after="400" w:before="0"/>
      </w:pPr>
      <w:r>
        <w:rPr>
          <w:rFonts w:ascii="Arial" w:cs="Arial" w:eastAsia="Arial" w:hAnsi="Arial"/>
          <w:b/>
          <w:bCs/>
          <w:color w:val="151210"/>
          <w:sz w:val="44"/>
          <w:szCs w:val="44"/>
        </w:rPr>
        <w:t xml:space="preserve">by calmalogic</w:t>
      </w:r>
      <w:r>
        <w:rPr>
          <w:rFonts w:ascii="Arial" w:cs="Arial" w:eastAsia="Arial" w:hAnsi="Arial"/>
          <w:b/>
          <w:bCs/>
          <w:color w:val="FF5A2C"/>
          <w:sz w:val="44"/>
          <w:szCs w:val="44"/>
        </w:rPr>
        <w:t xml:space="preserve">.</w:t>
      </w:r>
    </w:p>
    <w:p>
      <w:pPr>
        <w:pBdr>
          <w:top w:val="single" w:color="151210" w:sz="12"/>
        </w:pBdr>
        <w:spacing w:after="100" w:before="200"/>
      </w:pPr>
    </w:p>
    <w:p>
      <w:pPr>
        <w:spacing w:after="80" w:before="200"/>
      </w:pPr>
      <w:r>
        <w:rPr>
          <w:rFonts w:ascii="Arial" w:cs="Arial" w:eastAsia="Arial" w:hAnsi="Arial"/>
          <w:b/>
          <w:bCs/>
          <w:color w:val="151210"/>
          <w:sz w:val="40"/>
          <w:szCs w:val="40"/>
        </w:rPr>
        <w:t xml:space="preserve">Manual de Administrador</w:t>
      </w:r>
    </w:p>
    <w:p>
      <w:pPr>
        <w:spacing w:after="3000"/>
      </w:pPr>
      <w:r>
        <w:rPr>
          <w:rFonts w:ascii="Arial" w:cs="Arial" w:eastAsia="Arial" w:hAnsi="Arial"/>
          <w:i/>
          <w:iCs/>
          <w:color w:val="736C64"/>
          <w:sz w:val="24"/>
          <w:szCs w:val="24"/>
        </w:rPr>
        <w:t xml:space="preserve">Puesta en marcha, gestión diaria y marco legal del registro de jornada</w:t>
      </w:r>
    </w:p>
    <w:p>
      <w:r>
        <w:br w:type="page"/>
      </w:r>
    </w:p>
    <w:p>
      <w:pPr>
        <w:spacing w:after="300"/>
      </w:pPr>
      <w:r>
        <w:rPr>
          <w:rFonts w:ascii="Arial" w:cs="Arial" w:eastAsia="Arial" w:hAnsi="Arial"/>
          <w:color w:val="2A2724"/>
          <w:sz w:val="22"/>
          <w:szCs w:val="22"/>
        </w:rPr>
        <w:t xml:space="preserve">Este manual está pensado para leerse en el mismo orden en que se usa la aplicación por primera vez. La formación en el uso del sistema de registro horario es una obligación de la empresa hacia su plantilla, y el tiempo dedicado a ella computa como tiempo de trabajo efectivo.</w:t>
      </w:r>
    </w:p>
    <w:p>
      <w:pPr>
        <w:spacing w:after="100"/>
      </w:pPr>
    </w:p>
    <w:p>
      <w:pPr>
        <w:pBdr>
          <w:bottom w:val="single" w:color="FF5A2C" w:sz="18"/>
        </w:pBdr>
        <w:spacing w:after="300" w:before="500"/>
      </w:pPr>
      <w:r>
        <w:rPr>
          <w:rFonts w:ascii="Arial" w:cs="Arial" w:eastAsia="Arial" w:hAnsi="Arial"/>
          <w:b/>
          <w:bCs/>
          <w:color w:val="FF7D52"/>
          <w:sz w:val="32"/>
          <w:szCs w:val="32"/>
        </w:rPr>
        <w:t xml:space="preserve">PARTE 1  </w:t>
      </w:r>
      <w:r>
        <w:rPr>
          <w:rFonts w:ascii="Arial" w:cs="Arial" w:eastAsia="Arial" w:hAnsi="Arial"/>
          <w:b/>
          <w:bCs/>
          <w:color w:val="151210"/>
          <w:sz w:val="32"/>
          <w:szCs w:val="32"/>
        </w:rPr>
        <w:t xml:space="preserve">Primeros pasos</w:t>
      </w:r>
    </w:p>
    <w:p>
      <w:pPr>
        <w:spacing w:after="10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1</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Accede como administrador</w:t>
            </w:r>
          </w:p>
          <w:p>
            <w:r>
              <w:rPr>
                <w:rFonts w:ascii="Arial" w:cs="Arial" w:eastAsia="Arial" w:hAnsi="Arial"/>
                <w:color w:val="2A2724"/>
                <w:sz w:val="21"/>
                <w:szCs w:val="21"/>
              </w:rPr>
              <w:t xml:space="preserve">En la pantalla principal, pulsa el botón ADMIN e introduce la contraseña de administrador que se te haya asignado.</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2</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Conecta Google Drive</w:t>
            </w:r>
          </w:p>
          <w:p>
            <w:r>
              <w:rPr>
                <w:rFonts w:ascii="Arial" w:cs="Arial" w:eastAsia="Arial" w:hAnsi="Arial"/>
                <w:color w:val="2A2724"/>
                <w:sz w:val="21"/>
                <w:szCs w:val="21"/>
              </w:rPr>
              <w:t xml:space="preserve">La primera vez, la aplicación te pedirá conectar una cuenta de Google Drive. Quedará vinculada de forma permanente como almacén de todos los datos de fichaje de la empresa. Si el navegador bloquea la ventana emergente, autorízala desde la barra de direcciones.</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3</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Configura Datos de Empresa</w:t>
            </w:r>
          </w:p>
          <w:p>
            <w:r>
              <w:rPr>
                <w:rFonts w:ascii="Arial" w:cs="Arial" w:eastAsia="Arial" w:hAnsi="Arial"/>
                <w:color w:val="2A2724"/>
                <w:sz w:val="21"/>
                <w:szCs w:val="21"/>
              </w:rPr>
              <w:t xml:space="preserve">Razón social, CIF, política de compensación de horas extra, franja nocturna y multiplicadores, vacaciones anuales por defecto, y si hay flexibilidad de entrada general. Es replegable, así que no molesta el resto del tiempo.</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4</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Configura el Calendario Laboral</w:t>
            </w:r>
          </w:p>
          <w:p>
            <w:r>
              <w:rPr>
                <w:rFonts w:ascii="Arial" w:cs="Arial" w:eastAsia="Arial" w:hAnsi="Arial"/>
                <w:color w:val="2A2724"/>
                <w:sz w:val="21"/>
                <w:szCs w:val="21"/>
              </w:rPr>
              <w:t xml:space="preserve">Festivos, vacaciones y el horario estándar de la empresa (entrada/salida de mañana y tarde, por día de la semana) — se aplica automáticamente a todos los empleados salvo que definas uno propio para alguien en concreto.</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5</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Da de alta a los empleados</w:t>
            </w:r>
          </w:p>
          <w:p>
            <w:r>
              <w:rPr>
                <w:rFonts w:ascii="Arial" w:cs="Arial" w:eastAsia="Arial" w:hAnsi="Arial"/>
                <w:color w:val="2A2724"/>
                <w:sz w:val="21"/>
                <w:szCs w:val="21"/>
              </w:rPr>
              <w:t xml:space="preserve">Nombre, email, PIN de 4 dígitos, régimen de jornada (completa o parcial), modalidad habitual, y si ejerce como RLT. Podrás editarlo todo después desde el botón "Jornada" de su ficha.</w:t>
            </w:r>
          </w:p>
        </w:tc>
      </w:tr>
    </w:tbl>
    <w:p>
      <w:pPr>
        <w:spacing w:after="300"/>
      </w:pPr>
    </w:p>
    <w:p>
      <w:pPr>
        <w:pBdr>
          <w:bottom w:val="single" w:color="FF5A2C" w:sz="18"/>
        </w:pBdr>
        <w:spacing w:after="300" w:before="500"/>
      </w:pPr>
      <w:r>
        <w:rPr>
          <w:rFonts w:ascii="Arial" w:cs="Arial" w:eastAsia="Arial" w:hAnsi="Arial"/>
          <w:b/>
          <w:bCs/>
          <w:color w:val="FF7D52"/>
          <w:sz w:val="32"/>
          <w:szCs w:val="32"/>
        </w:rPr>
        <w:t xml:space="preserve">PARTE 2  </w:t>
      </w:r>
      <w:r>
        <w:rPr>
          <w:rFonts w:ascii="Arial" w:cs="Arial" w:eastAsia="Arial" w:hAnsi="Arial"/>
          <w:b/>
          <w:bCs/>
          <w:color w:val="151210"/>
          <w:sz w:val="32"/>
          <w:szCs w:val="32"/>
        </w:rPr>
        <w:t xml:space="preserve">El día a día</w:t>
      </w:r>
    </w:p>
    <w:p>
      <w:pPr>
        <w:spacing w:after="300"/>
      </w:pPr>
      <w:r>
        <w:rPr>
          <w:rFonts w:ascii="Arial" w:cs="Arial" w:eastAsia="Arial" w:hAnsi="Arial"/>
          <w:color w:val="2A2724"/>
          <w:sz w:val="22"/>
          <w:szCs w:val="22"/>
        </w:rPr>
        <w:t xml:space="preserve">Con la empresa ya configurada y el equipo dado de alta, aquí tienes el resto de funciones que usarás en la gestión diaria.</w:t>
      </w:r>
    </w:p>
    <w:p>
      <w:pPr>
        <w:spacing w:after="120"/>
      </w:pPr>
    </w:p>
    <w:p>
      <w:pPr>
        <w:spacing w:after="120" w:before="260"/>
      </w:pPr>
      <w:r>
        <w:rPr>
          <w:rFonts w:ascii="Arial" w:cs="Arial" w:eastAsia="Arial" w:hAnsi="Arial"/>
          <w:b/>
          <w:bCs/>
          <w:color w:val="151210"/>
          <w:sz w:val="24"/>
          <w:szCs w:val="24"/>
        </w:rPr>
        <w:t xml:space="preserve">👥  Fichajes del equipo</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Consultar y reclamar</w:t>
            </w:r>
          </w:p>
          <w:p>
            <w:r>
              <w:rPr>
                <w:rFonts w:ascii="Arial" w:cs="Arial" w:eastAsia="Arial" w:hAnsi="Arial"/>
                <w:color w:val="2A2724"/>
                <w:sz w:val="20"/>
                <w:szCs w:val="20"/>
              </w:rPr>
              <w:t xml:space="preserve">Selecciona un empleado y un rango de fechas para ver su historial, o exporta directamente su Excel. Si detectas un fichaje incorrecto, pulsa "🚩 Reclamar este fichaje" — no lo modifica directamente, envía una propuesta al empleado para que la acepte o rechace.</w:t>
            </w:r>
          </w:p>
        </w:tc>
      </w:tr>
    </w:tbl>
    <w:p>
      <w:pPr>
        <w:spacing w:after="220"/>
      </w:pPr>
    </w:p>
    <w:p>
      <w:pPr>
        <w:spacing w:after="120" w:before="260"/>
      </w:pPr>
      <w:r>
        <w:rPr>
          <w:rFonts w:ascii="Arial" w:cs="Arial" w:eastAsia="Arial" w:hAnsi="Arial"/>
          <w:b/>
          <w:bCs/>
          <w:color w:val="151210"/>
          <w:sz w:val="24"/>
          <w:szCs w:val="24"/>
        </w:rPr>
        <w:t xml:space="preserve">✅  Correcciones y fichajes manuales</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Aprobar o rechazar</w:t>
            </w:r>
          </w:p>
          <w:p>
            <w:r>
              <w:rPr>
                <w:rFonts w:ascii="Arial" w:cs="Arial" w:eastAsia="Arial" w:hAnsi="Arial"/>
                <w:color w:val="2A2724"/>
                <w:sz w:val="20"/>
                <w:szCs w:val="20"/>
              </w:rPr>
              <w:t xml:space="preserve">Cuando alguien propone corregir un fichaje o añade uno olvidado, aparece un aviso destacado con el número de casos pendientes. "Aceptar todas las pendientes" las resuelve de golpe con una barra de progreso.</w:t>
            </w:r>
          </w:p>
        </w:tc>
      </w:tr>
    </w:tbl>
    <w:p>
      <w:pPr>
        <w:spacing w:after="220"/>
      </w:pPr>
    </w:p>
    <w:p>
      <w:pPr>
        <w:spacing w:after="120" w:before="260"/>
      </w:pPr>
      <w:r>
        <w:rPr>
          <w:rFonts w:ascii="Arial" w:cs="Arial" w:eastAsia="Arial" w:hAnsi="Arial"/>
          <w:b/>
          <w:bCs/>
          <w:color w:val="151210"/>
          <w:sz w:val="24"/>
          <w:szCs w:val="24"/>
        </w:rPr>
        <w:t xml:space="preserve">📨  Enviar avisos</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Comunicación directa</w:t>
            </w:r>
          </w:p>
          <w:p>
            <w:r>
              <w:rPr>
                <w:rFonts w:ascii="Arial" w:cs="Arial" w:eastAsia="Arial" w:hAnsi="Arial"/>
                <w:color w:val="2A2724"/>
                <w:sz w:val="20"/>
                <w:szCs w:val="20"/>
              </w:rPr>
              <w:t xml:space="preserve">Desde "Enviar Aviso al Empleado" puedes comunicar información, errores detectados o avisos urgentes, que la persona verá al iniciar sesión.</w:t>
            </w:r>
          </w:p>
        </w:tc>
      </w:tr>
    </w:tbl>
    <w:p>
      <w:pPr>
        <w:spacing w:after="220"/>
      </w:pPr>
    </w:p>
    <w:p>
      <w:pPr>
        <w:spacing w:after="120" w:before="260"/>
      </w:pPr>
      <w:r>
        <w:rPr>
          <w:rFonts w:ascii="Arial" w:cs="Arial" w:eastAsia="Arial" w:hAnsi="Arial"/>
          <w:b/>
          <w:bCs/>
          <w:color w:val="151210"/>
          <w:sz w:val="24"/>
          <w:szCs w:val="24"/>
        </w:rPr>
        <w:t xml:space="preserve">📄  Informes y cumplimiento</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Exportar Excel e Inspección</w:t>
            </w:r>
          </w:p>
          <w:p>
            <w:r>
              <w:rPr>
                <w:rFonts w:ascii="Arial" w:cs="Arial" w:eastAsia="Arial" w:hAnsi="Arial"/>
                <w:color w:val="2A2724"/>
                <w:sz w:val="20"/>
                <w:szCs w:val="20"/>
              </w:rPr>
              <w:t xml:space="preserve">Exporta el Excel de un empleado, o genera de una sola vez el informe combinado de todos para Inspección de Trabajo.</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Verificar integridad de registros</w:t>
            </w:r>
          </w:p>
          <w:p>
            <w:r>
              <w:rPr>
                <w:rFonts w:ascii="Arial" w:cs="Arial" w:eastAsia="Arial" w:hAnsi="Arial"/>
                <w:color w:val="2A2724"/>
                <w:sz w:val="20"/>
                <w:szCs w:val="20"/>
              </w:rPr>
              <w:t xml:space="preserve">Desde el modal de Inspección Laboral, recalcula el hash de cada fichaje e indica cuántos son íntegros y si hay alguno con posible alteración.</w:t>
            </w:r>
          </w:p>
        </w:tc>
      </w:tr>
    </w:tbl>
    <w:p>
      <w:pPr>
        <w:spacing w:after="220"/>
      </w:pPr>
    </w:p>
    <w:p>
      <w:pPr>
        <w:spacing w:after="120" w:before="260"/>
      </w:pPr>
      <w:r>
        <w:rPr>
          <w:rFonts w:ascii="Arial" w:cs="Arial" w:eastAsia="Arial" w:hAnsi="Arial"/>
          <w:b/>
          <w:bCs/>
          <w:color w:val="151210"/>
          <w:sz w:val="24"/>
          <w:szCs w:val="24"/>
        </w:rPr>
        <w:t xml:space="preserve">🧑‍⚖️  Rol de RLT</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Representación legal de los trabajadores</w:t>
            </w:r>
          </w:p>
          <w:p>
            <w:r>
              <w:rPr>
                <w:rFonts w:ascii="Arial" w:cs="Arial" w:eastAsia="Arial" w:hAnsi="Arial"/>
                <w:color w:val="2A2724"/>
                <w:sz w:val="20"/>
                <w:szCs w:val="20"/>
              </w:rPr>
              <w:t xml:space="preserve">Marca como RLT a quien ejerza esa función. Verá un botón adicional "Mediar conflictos" con los casos en discrepancia. Si tu empresa no tiene RLT, las discrepancias se resuelven directamente entre administrador y empleado.</w:t>
            </w:r>
          </w:p>
        </w:tc>
      </w:tr>
    </w:tbl>
    <w:p>
      <w:pPr>
        <w:spacing w:after="220"/>
      </w:pPr>
    </w:p>
    <w:p>
      <w:pPr>
        <w:spacing w:after="120" w:before="260"/>
      </w:pPr>
      <w:r>
        <w:rPr>
          <w:rFonts w:ascii="Arial" w:cs="Arial" w:eastAsia="Arial" w:hAnsi="Arial"/>
          <w:b/>
          <w:bCs/>
          <w:color w:val="151210"/>
          <w:sz w:val="24"/>
          <w:szCs w:val="24"/>
        </w:rPr>
        <w:t xml:space="preserve">🖥️  Modo Kiosko</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Una tablet para todo el equipo</w:t>
            </w:r>
          </w:p>
          <w:p>
            <w:r>
              <w:rPr>
                <w:rFonts w:ascii="Arial" w:cs="Arial" w:eastAsia="Arial" w:hAnsi="Arial"/>
                <w:color w:val="2A2724"/>
                <w:sz w:val="20"/>
                <w:szCs w:val="20"/>
              </w:rPr>
              <w:t xml:space="preserve">Se activa con su propia contraseña, independiente de la del panel. Cada empleado toca su tarjeta, introduce su PIN, y ficha. Funciona incluso sin conexión — sincroniza solo al recuperarla.</w:t>
            </w:r>
          </w:p>
        </w:tc>
      </w:tr>
    </w:tbl>
    <w:p>
      <w:pPr>
        <w:spacing w:after="220"/>
      </w:pPr>
    </w:p>
    <w:p>
      <w:pPr>
        <w:spacing w:after="120" w:before="260"/>
      </w:pPr>
      <w:r>
        <w:rPr>
          <w:rFonts w:ascii="Arial" w:cs="Arial" w:eastAsia="Arial" w:hAnsi="Arial"/>
          <w:b/>
          <w:bCs/>
          <w:color w:val="151210"/>
          <w:sz w:val="24"/>
          <w:szCs w:val="24"/>
        </w:rPr>
        <w:t xml:space="preserve">📈  Analytics</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Nueve indicadores de un vistazo</w:t>
            </w:r>
          </w:p>
          <w:p>
            <w:r>
              <w:rPr>
                <w:rFonts w:ascii="Arial" w:cs="Arial" w:eastAsia="Arial" w:hAnsi="Arial"/>
                <w:color w:val="2A2724"/>
                <w:sz w:val="20"/>
                <w:szCs w:val="20"/>
              </w:rPr>
              <w:t xml:space="preserve">Horas por mes, presencial/teletrabajo, correcciones, absentismo, horas extra por empleado, semáforo de cumplimiento, vacaciones consumidas, distribución horaria, e irregularidades de descanso legal. Todo exportable a HTML y PDF.</w:t>
            </w:r>
          </w:p>
        </w:tc>
      </w:tr>
    </w:tbl>
    <w:p>
      <w:pPr>
        <w:spacing w:after="220"/>
      </w:pPr>
    </w:p>
    <w:p>
      <w:pPr>
        <w:spacing w:after="120" w:before="260"/>
      </w:pPr>
      <w:r>
        <w:rPr>
          <w:rFonts w:ascii="Arial" w:cs="Arial" w:eastAsia="Arial" w:hAnsi="Arial"/>
          <w:b/>
          <w:bCs/>
          <w:color w:val="151210"/>
          <w:sz w:val="24"/>
          <w:szCs w:val="24"/>
        </w:rPr>
        <w:t xml:space="preserve">💰  Sistema de Horas Extra</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Configuración general</w:t>
            </w:r>
          </w:p>
          <w:p>
            <w:r>
              <w:rPr>
                <w:rFonts w:ascii="Arial" w:cs="Arial" w:eastAsia="Arial" w:hAnsi="Arial"/>
                <w:color w:val="2A2724"/>
                <w:sz w:val="20"/>
                <w:szCs w:val="20"/>
              </w:rPr>
              <w:t xml:space="preserve">Política de compensación (pagadas o en tiempo — "compensadas" es el valor por defecto, el que marca la ley sin pacto expreso), franja nocturna, y multiplicadores de sábado/domingo/festivo, que se suman entre sí si coinciden.</w:t>
            </w:r>
          </w:p>
        </w:tc>
      </w:tr>
    </w:tbl>
    <w:p>
      <w:pPr>
        <w:spacing w:after="200"/>
      </w:pPr>
    </w:p>
    <w:p>
      <w:pPr>
        <w:spacing w:after="120" w:before="260"/>
      </w:pPr>
      <w:r>
        <w:rPr>
          <w:rFonts w:ascii="Arial" w:cs="Arial" w:eastAsia="Arial" w:hAnsi="Arial"/>
          <w:b/>
          <w:bCs/>
          <w:color w:val="151210"/>
          <w:sz w:val="24"/>
          <w:szCs w:val="24"/>
        </w:rPr>
        <w:t xml:space="preserve">El circuito completo, explicado sin tecnicismos</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1️⃣  </w:t>
            </w:r>
            <w:r>
              <w:rPr>
                <w:rFonts w:ascii="Arial" w:cs="Arial" w:eastAsia="Arial" w:hAnsi="Arial"/>
                <w:b/>
                <w:bCs/>
                <w:color w:val="F0451A"/>
                <w:sz w:val="23"/>
                <w:szCs w:val="23"/>
              </w:rPr>
              <w:t xml:space="preserve">Cada día se compara solo, automáticamente</w:t>
            </w:r>
          </w:p>
          <w:p>
            <w:r>
              <w:rPr>
                <w:rFonts w:ascii="Arial" w:cs="Arial" w:eastAsia="Arial" w:hAnsi="Arial"/>
                <w:color w:val="2A2724"/>
                <w:sz w:val="20"/>
                <w:szCs w:val="20"/>
              </w:rPr>
              <w:t xml:space="preserve">Cada fichaje se compara contra la jornada de ese empleado ese día. Si trabajó de más, genera horas extra. Si trabajó de menos, genera una deuda. Esto lo hace la app sola, con cada fichaje, sin que nadie tenga que anotar nada.</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2️⃣  </w:t>
            </w:r>
            <w:r>
              <w:rPr>
                <w:rFonts w:ascii="Arial" w:cs="Arial" w:eastAsia="Arial" w:hAnsi="Arial"/>
                <w:b/>
                <w:bCs/>
                <w:color w:val="F0451A"/>
                <w:sz w:val="23"/>
                <w:szCs w:val="23"/>
              </w:rPr>
              <w:t xml:space="preserve">Los recargos van por dentro de ese mismo cálculo</w:t>
            </w:r>
          </w:p>
          <w:p>
            <w:r>
              <w:rPr>
                <w:rFonts w:ascii="Arial" w:cs="Arial" w:eastAsia="Arial" w:hAnsi="Arial"/>
                <w:color w:val="2A2724"/>
                <w:sz w:val="20"/>
                <w:szCs w:val="20"/>
              </w:rPr>
              <w:t xml:space="preserve">Si ese día de más cae en horario nocturno, sábado, domingo o festivo (y tienes el multiplicador correspondiente activado), esas horas de más valen más — por ejemplo, con un recargo del 25%, 1 hora extra nocturna cuenta como 1,25h. Se suman entre sí si coinciden varios (una noche de festivo, por ejemplo).</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Turno nocturno: la excepción</w:t>
            </w:r>
          </w:p>
          <w:p>
            <w:r>
              <w:rPr>
                <w:rFonts w:ascii="Arial" w:cs="Arial" w:eastAsia="Arial" w:hAnsi="Arial"/>
                <w:color w:val="2A2724"/>
                <w:sz w:val="20"/>
                <w:szCs w:val="20"/>
              </w:rPr>
              <w:t xml:space="preserve">Si esa persona tiene declarado un periodo de turno nocturno (porque trabajar de noche es su horario normal, no una excepción), esas horas NO llevan el recargo nocturno — ya es su jornada ordinaria, no un extra.</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3️⃣  </w:t>
            </w:r>
            <w:r>
              <w:rPr>
                <w:rFonts w:ascii="Arial" w:cs="Arial" w:eastAsia="Arial" w:hAnsi="Arial"/>
                <w:b/>
                <w:bCs/>
                <w:color w:val="F0451A"/>
                <w:sz w:val="23"/>
                <w:szCs w:val="23"/>
              </w:rPr>
              <w:t xml:space="preserve">Una deuda se paga sola, con el propio fichaje</w:t>
            </w:r>
          </w:p>
          <w:p>
            <w:r>
              <w:rPr>
                <w:rFonts w:ascii="Arial" w:cs="Arial" w:eastAsia="Arial" w:hAnsi="Arial"/>
                <w:color w:val="2A2724"/>
                <w:sz w:val="20"/>
                <w:szCs w:val="20"/>
              </w:rPr>
              <w:t xml:space="preserve">Si un empleado debe horas y luego se queda más tiempo otro día (porque así lo habéis acordado entre vosotros), ese día de más ya reduce la deuda automáticamente al ficharlo — no hace falta anotar nada en la app para que "cuente". El sistema resta lo uno de lo otro solo, cada vez que se recalcula.</w:t>
            </w:r>
          </w:p>
        </w:tc>
      </w:tr>
    </w:tbl>
    <w:p>
      <w:pPr>
        <w:spacing w:after="140"/>
      </w:pPr>
    </w:p>
    <w:tbl>
      <w:tblPr>
        <w:tblW w:type="dxa" w:w="9500"/>
        <w:tblBorders>
          <w:top w:val="none"/>
          <w:left w:val="single" w:color="FF5A2C" w:sz="24"/>
          <w:bottom w:val="none"/>
          <w:right w:val="none"/>
          <w:insideH w:val="none"/>
          <w:insideV w:val="none"/>
        </w:tblBorders>
      </w:tblPr>
      <w:tblGrid>
        <w:gridCol w:w="9500"/>
      </w:tblGrid>
      <w:tr>
        <w:tc>
          <w:tcPr>
            <w:tcW w:type="dxa" w:w="9500"/>
            <w:shd w:fill="FFF3EC" w:val="clear"/>
            <w:tcMar>
              <w:top w:type="dxa" w:w="140"/>
              <w:left w:type="dxa" w:w="220"/>
              <w:bottom w:type="dxa" w:w="140"/>
              <w:right w:type="dxa" w:w="220"/>
            </w:tcMar>
          </w:tcPr>
          <w:p>
            <w:r>
              <w:rPr>
                <w:rFonts w:ascii="Arial" w:cs="Arial" w:eastAsia="Arial" w:hAnsi="Arial"/>
                <w:color w:val="2A2724"/>
                <w:sz w:val="20"/>
                <w:szCs w:val="20"/>
              </w:rPr>
              <w:t xml:space="preserve">Importante: si la recuperación de una deuda cae justo en un día con recargo (por ejemplo, le pides que recupere un sábado y tienes el multiplicador de sábado activado), esas horas de recuperación TAMBIÉN llevan el recargo — la ley no distingue entre "hora extra porque sí" y "hora extra para pagar una deuda". Esto puede hacer que recuperar 3h de deuda con 3h en sábado no deje el saldo en cero, sino en positivo. Es correcto legalmente, pero conviene saberlo de antemano para no llevarse una sorpresa.</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4️⃣  </w:t>
            </w:r>
            <w:r>
              <w:rPr>
                <w:rFonts w:ascii="Arial" w:cs="Arial" w:eastAsia="Arial" w:hAnsi="Arial"/>
                <w:b/>
                <w:bCs/>
                <w:color w:val="F0451A"/>
                <w:sz w:val="23"/>
                <w:szCs w:val="23"/>
              </w:rPr>
              <w:t xml:space="preserve">"Anotar tiempo libre" y "Proponer compensación" son solo para lo que el fichaje NO puede reflejar por sí solo</w:t>
            </w:r>
          </w:p>
          <w:p>
            <w:r>
              <w:rPr>
                <w:rFonts w:ascii="Arial" w:cs="Arial" w:eastAsia="Arial" w:hAnsi="Arial"/>
                <w:color w:val="2A2724"/>
                <w:sz w:val="20"/>
                <w:szCs w:val="20"/>
              </w:rPr>
              <w:t xml:space="preserve">Si alguien se coge un día entero libre sin fichar nada, o si queréis cruzar formalmente horas de más contra horas debidas con acuerdo de las dos partes, ahí sí hace falta anotarlo a mano — porque no hay ningún fichaje que se lo cuente a la app por sí solo.</w:t>
            </w:r>
          </w:p>
        </w:tc>
      </w:tr>
    </w:tbl>
    <w:p>
      <w:pPr>
        <w:spacing w:after="140"/>
      </w:pPr>
    </w:p>
    <w:tbl>
      <w:tblPr>
        <w:tblW w:type="dxa" w:w="9500"/>
        <w:tblBorders>
          <w:top w:val="none"/>
          <w:left w:val="single" w:color="736C64" w:sz="24"/>
          <w:bottom w:val="none"/>
          <w:right w:val="none"/>
          <w:insideH w:val="none"/>
          <w:insideV w:val="none"/>
        </w:tblBorders>
      </w:tblPr>
      <w:tblGrid>
        <w:gridCol w:w="9500"/>
      </w:tblGrid>
      <w:tr>
        <w:tc>
          <w:tcPr>
            <w:tcW w:type="dxa" w:w="9500"/>
            <w:shd w:fill="EFEAE1" w:val="clear"/>
            <w:tcMar>
              <w:top w:type="dxa" w:w="140"/>
              <w:left w:type="dxa" w:w="220"/>
              <w:bottom w:type="dxa" w:w="140"/>
              <w:right w:type="dxa" w:w="220"/>
            </w:tcMar>
          </w:tcPr>
          <w:p>
            <w:r>
              <w:rPr>
                <w:rFonts w:ascii="Arial" w:cs="Arial" w:eastAsia="Arial" w:hAnsi="Arial"/>
                <w:color w:val="2A2724"/>
                <w:sz w:val="20"/>
                <w:szCs w:val="20"/>
              </w:rPr>
              <w:t xml:space="preserve">FiChar no gestiona nóminas ni descuentos salariales — solo el registro de horas. Si una empresa descuenta en nómina por horas no trabajadas, ese proceso es aparte, fuera de lo que controla esta aplicación.</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Turnos nocturnos</w:t>
            </w:r>
          </w:p>
          <w:p>
            <w:r>
              <w:rPr>
                <w:rFonts w:ascii="Arial" w:cs="Arial" w:eastAsia="Arial" w:hAnsi="Arial"/>
                <w:color w:val="2A2724"/>
                <w:sz w:val="20"/>
                <w:szCs w:val="20"/>
              </w:rPr>
              <w:t xml:space="preserve">Si tienes personas con turno nocturno habitual, actívalo para poder anotar sus periodos — durante ellos no se aplica el multiplicador, y la app avisa (sin bloquear) si aparecen horas extra.</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Saldo, desglose y compensación</w:t>
            </w:r>
          </w:p>
          <w:p>
            <w:r>
              <w:rPr>
                <w:rFonts w:ascii="Arial" w:cs="Arial" w:eastAsia="Arial" w:hAnsi="Arial"/>
                <w:color w:val="2A2724"/>
                <w:sz w:val="20"/>
                <w:szCs w:val="20"/>
              </w:rPr>
              <w:t xml:space="preserve">El botón "Horas Extra" de cada empleado muestra su saldo neto, el aviso de proximidad al límite de 80h/año, el desglose día a día exportable, y permite registrar acuerdos o resolver propuestas de compensación.</w:t>
            </w:r>
          </w:p>
        </w:tc>
      </w:tr>
    </w:tbl>
    <w:p>
      <w:pPr>
        <w:spacing w:after="140"/>
      </w:pPr>
    </w:p>
    <w:tbl>
      <w:tblPr>
        <w:tblW w:type="dxa" w:w="9500"/>
        <w:tblBorders>
          <w:top w:val="none"/>
          <w:left w:val="single" w:color="2E9E5B" w:sz="24"/>
          <w:bottom w:val="none"/>
          <w:right w:val="none"/>
          <w:insideH w:val="none"/>
          <w:insideV w:val="none"/>
        </w:tblBorders>
      </w:tblPr>
      <w:tblGrid>
        <w:gridCol w:w="9500"/>
      </w:tblGrid>
      <w:tr>
        <w:tc>
          <w:tcPr>
            <w:tcW w:type="dxa" w:w="9500"/>
            <w:shd w:fill="F0FDF4" w:val="clear"/>
            <w:tcMar>
              <w:top w:type="dxa" w:w="140"/>
              <w:left w:type="dxa" w:w="220"/>
              <w:bottom w:type="dxa" w:w="140"/>
              <w:right w:type="dxa" w:w="220"/>
            </w:tcMar>
          </w:tcPr>
          <w:p>
            <w:r>
              <w:rPr>
                <w:rFonts w:ascii="Arial" w:cs="Arial" w:eastAsia="Arial" w:hAnsi="Arial"/>
                <w:color w:val="2A2724"/>
                <w:sz w:val="20"/>
                <w:szCs w:val="20"/>
              </w:rPr>
              <w:t xml:space="preserve">Tanto el cálculo de horas extra como la tabla de Analytics usan siempre el año en curso completo, sin importar el periodo elegido arriba en Analytics — es necesario para vigilar el límite legal de 80h/año y el plazo de los 4 meses.</w:t>
            </w:r>
          </w:p>
        </w:tc>
      </w:tr>
    </w:tbl>
    <w:p>
      <w:pPr>
        <w:spacing w:after="220"/>
      </w:pPr>
    </w:p>
    <w:p>
      <w:pPr>
        <w:spacing w:after="120" w:before="260"/>
      </w:pPr>
      <w:r>
        <w:rPr>
          <w:rFonts w:ascii="Arial" w:cs="Arial" w:eastAsia="Arial" w:hAnsi="Arial"/>
          <w:b/>
          <w:bCs/>
          <w:color w:val="151210"/>
          <w:sz w:val="24"/>
          <w:szCs w:val="24"/>
        </w:rPr>
        <w:t xml:space="preserve">😴  Descansos legales</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Detección automática</w:t>
            </w:r>
          </w:p>
          <w:p>
            <w:r>
              <w:rPr>
                <w:rFonts w:ascii="Arial" w:cs="Arial" w:eastAsia="Arial" w:hAnsi="Arial"/>
                <w:color w:val="2A2724"/>
                <w:sz w:val="20"/>
                <w:szCs w:val="20"/>
              </w:rPr>
              <w:t xml:space="preserve">La app vigila el descanso mínimo de 12h entre jornadas (art. 34.3 ET) y la pausa obligatoria de 15 min si la jornada supera 6h (art. 34.4 ET). Aparece en Alertas Automáticas, con el mismo botón para notificar al empleado.</w:t>
            </w:r>
          </w:p>
        </w:tc>
      </w:tr>
    </w:tbl>
    <w:p>
      <w:pPr>
        <w:spacing w:after="140"/>
      </w:pPr>
    </w:p>
    <w:tbl>
      <w:tblPr>
        <w:tblW w:type="dxa" w:w="9500"/>
        <w:tblBorders>
          <w:top w:val="none"/>
          <w:left w:val="single" w:color="2E9E5B" w:sz="24"/>
          <w:bottom w:val="none"/>
          <w:right w:val="none"/>
          <w:insideH w:val="none"/>
          <w:insideV w:val="none"/>
        </w:tblBorders>
      </w:tblPr>
      <w:tblGrid>
        <w:gridCol w:w="9500"/>
      </w:tblGrid>
      <w:tr>
        <w:tc>
          <w:tcPr>
            <w:tcW w:type="dxa" w:w="9500"/>
            <w:shd w:fill="F0FDF4" w:val="clear"/>
            <w:tcMar>
              <w:top w:type="dxa" w:w="140"/>
              <w:left w:type="dxa" w:w="220"/>
              <w:bottom w:type="dxa" w:w="140"/>
              <w:right w:type="dxa" w:w="220"/>
            </w:tcMar>
          </w:tcPr>
          <w:p>
            <w:r>
              <w:rPr>
                <w:rFonts w:ascii="Arial" w:cs="Arial" w:eastAsia="Arial" w:hAnsi="Arial"/>
                <w:color w:val="2A2724"/>
                <w:sz w:val="20"/>
                <w:szCs w:val="20"/>
              </w:rPr>
              <w:t xml:space="preserve">Nunca bloquea el fichaje por este motivo, solo informa — la decisión y la responsabilidad son siempre vuestras, igual que con los turnos nocturnos.</w:t>
            </w:r>
          </w:p>
        </w:tc>
      </w:tr>
    </w:tbl>
    <w:p>
      <w:pPr>
        <w:spacing w:after="300"/>
      </w:pPr>
    </w:p>
    <w:p>
      <w:pPr>
        <w:pageBreakBefore/>
      </w:pPr>
    </w:p>
    <w:p>
      <w:pPr>
        <w:pBdr>
          <w:bottom w:val="single" w:color="FF5A2C" w:sz="18"/>
        </w:pBdr>
        <w:spacing w:after="300" w:before="500"/>
      </w:pPr>
      <w:r>
        <w:rPr>
          <w:rFonts w:ascii="Arial" w:cs="Arial" w:eastAsia="Arial" w:hAnsi="Arial"/>
          <w:b/>
          <w:bCs/>
          <w:color w:val="FF7D52"/>
          <w:sz w:val="32"/>
          <w:szCs w:val="32"/>
        </w:rPr>
        <w:t xml:space="preserve">  </w:t>
      </w:r>
      <w:r>
        <w:rPr>
          <w:rFonts w:ascii="Arial" w:cs="Arial" w:eastAsia="Arial" w:hAnsi="Arial"/>
          <w:b/>
          <w:bCs/>
          <w:color w:val="151210"/>
          <w:sz w:val="32"/>
          <w:szCs w:val="32"/>
        </w:rPr>
        <w:t xml:space="preserve">Glosario legal y de la aplicación</w:t>
      </w:r>
    </w:p>
    <w:p>
      <w:pPr>
        <w:spacing w:after="120"/>
      </w:pPr>
    </w:p>
    <w:tbl>
      <w:tblPr>
        <w:tblW w:type="dxa" w:w="9500"/>
        <w:tblBorders>
          <w:top w:val="single" w:color="auto" w:sz="4"/>
          <w:left w:val="single" w:color="auto" w:sz="4"/>
          <w:bottom w:val="single" w:color="auto" w:sz="4"/>
          <w:right w:val="single" w:color="auto" w:sz="4"/>
          <w:insideH w:val="single" w:color="auto" w:sz="4"/>
          <w:insideV w:val="single" w:color="auto" w:sz="4"/>
        </w:tblBorders>
      </w:tblPr>
      <w:tblGrid>
        <w:gridCol w:w="3200"/>
        <w:gridCol w:w="6300"/>
      </w:tblGrid>
      <w:tr>
        <w:tc>
          <w:tcPr>
            <w:tcW w:type="dxa" w:w="32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Término</w:t>
            </w:r>
          </w:p>
        </w:tc>
        <w:tc>
          <w:tcPr>
            <w:tcW w:type="dxa" w:w="63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Qué significa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Régimen de jornada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Si una persona tiene contrato a jornada completa o a tiempo parcial, y cuántas horas semanales tiene pactadas.</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Horas ordinarias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Las horas trabajadas dentro de la jornada pactada en el contrato o convenio.</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Horas extraordinarias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Horas por encima de la jornada pactada por una persona a jornada COMPLETA (art. 35 ET). Límite legal: 80h/año.</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Horas complementarias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Horas adicionales para jornada PARCIAL (art. 12.5 ET), solo con pacto firmado. Se pagan como ordinarias.</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Modalidad (presencial/teletrabajo)</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Indica si un fichaje corresponde a trabajo presencial o a distancia.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Corrección pendiente de aprobación</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Propuesta de cambio sobre un fichaje que aún no se aplica — falta la aceptación de la otra parte.</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Discrepancia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Estado de una corrección rechazada. Queda a la espera de mediación de la RLT.</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RLT</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Representación Legal de los Trabajadores. Interviene en discrepancias de fichaje.</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Hash de integridad</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Huella digital de cada fichaje que permite comprobar que no se ha modificado por fuera del sistema.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Fichaje añadido manualmente</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Registro introducido a mano por haber olvidado fichar. Pendiente de aprobación.</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Inspección de Trabajo (ITSS)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Organismo público que supervisa el cumplimiento de la normativa laboral.</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Conservación de 4 años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Periodo mínimo legal para conservar los registros de jornada.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Modo Kiosko</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Modalidad para un único dispositivo compartido, sin necesitar el teléfono de cada empleado.</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Horario individual</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Horario propio de un empleado, distinto del global, que prevalece solo para esa persona.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Saldo de horas extra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Balance neto entre horas de más y de menos en el año.</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Turno nocturno (periodo)</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Periodo anotado en la ficha de un empleado durante el cual su horario nocturno es su jornada ordinaria.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Descanso entre jornadas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Mínimo de 12h entre el final de un turno y el inicio del siguiente (art. 34.3 ET).</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Pausa obligatoria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Descanso mínimo de 15 minutos si la jornada continuada supera las 6 horas (art. 34.4 ET).</w:t>
            </w:r>
          </w:p>
        </w:tc>
      </w:tr>
    </w:tbl>
    <w:p>
      <w:pPr>
        <w:spacing w:after="300"/>
      </w:pPr>
    </w:p>
    <w:p>
      <w:pPr>
        <w:pBdr>
          <w:bottom w:val="single" w:color="FF5A2C" w:sz="18"/>
        </w:pBdr>
        <w:spacing w:after="300" w:before="500"/>
      </w:pPr>
      <w:r>
        <w:rPr>
          <w:rFonts w:ascii="Arial" w:cs="Arial" w:eastAsia="Arial" w:hAnsi="Arial"/>
          <w:b/>
          <w:bCs/>
          <w:color w:val="FF7D52"/>
          <w:sz w:val="32"/>
          <w:szCs w:val="32"/>
        </w:rPr>
        <w:t xml:space="preserve">  </w:t>
      </w:r>
      <w:r>
        <w:rPr>
          <w:rFonts w:ascii="Arial" w:cs="Arial" w:eastAsia="Arial" w:hAnsi="Arial"/>
          <w:b/>
          <w:bCs/>
          <w:color w:val="151210"/>
          <w:sz w:val="32"/>
          <w:szCs w:val="32"/>
        </w:rPr>
        <w:t xml:space="preserve">Obligaciones de cada actor</w:t>
      </w:r>
    </w:p>
    <w:p>
      <w:pPr>
        <w:spacing w:after="120"/>
      </w:pPr>
    </w:p>
    <w:tbl>
      <w:tblPr>
        <w:tblW w:type="dxa" w:w="9500"/>
        <w:tblBorders>
          <w:top w:val="single" w:color="auto" w:sz="4"/>
          <w:left w:val="single" w:color="auto" w:sz="4"/>
          <w:bottom w:val="single" w:color="auto" w:sz="4"/>
          <w:right w:val="single" w:color="auto" w:sz="4"/>
          <w:insideH w:val="single" w:color="auto" w:sz="4"/>
          <w:insideV w:val="single" w:color="auto" w:sz="4"/>
        </w:tblBorders>
      </w:tblPr>
      <w:tblGrid>
        <w:gridCol w:w="2600"/>
        <w:gridCol w:w="6900"/>
      </w:tblGrid>
      <w:tr>
        <w:tc>
          <w:tcPr>
            <w:tcW w:type="dxa" w:w="26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Actor</w:t>
            </w:r>
          </w:p>
        </w:tc>
        <w:tc>
          <w:tcPr>
            <w:tcW w:type="dxa" w:w="69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Obligaciones principales</w:t>
            </w:r>
          </w:p>
        </w:tc>
      </w:tr>
      <w:tr>
        <w:tc>
          <w:tcPr>
            <w:tcW w:type="dxa" w:w="2600"/>
            <w:tcMar>
              <w:top w:type="dxa" w:w="100"/>
              <w:left w:type="dxa" w:w="120"/>
              <w:bottom w:type="dxa" w:w="100"/>
              <w:right w:type="dxa" w:w="120"/>
            </w:tcMar>
            <w:vAlign w:val="center"/>
          </w:tcPr>
          <w:p>
            <w:r>
              <w:rPr>
                <w:rFonts w:ascii="Arial" w:cs="Arial" w:eastAsia="Arial" w:hAnsi="Arial"/>
                <w:b/>
                <w:bCs/>
                <w:sz w:val="19"/>
                <w:szCs w:val="19"/>
              </w:rPr>
              <w:t xml:space="preserve">Empresa</w:t>
            </w:r>
          </w:p>
        </w:tc>
        <w:tc>
          <w:tcPr>
            <w:tcW w:type="dxa" w:w="6900"/>
            <w:tcMar>
              <w:top w:type="dxa" w:w="100"/>
              <w:left w:type="dxa" w:w="120"/>
              <w:bottom w:type="dxa" w:w="100"/>
              <w:right w:type="dxa" w:w="120"/>
            </w:tcMar>
            <w:vAlign w:val="center"/>
          </w:tcPr>
          <w:p>
            <w:r>
              <w:rPr>
                <w:rFonts w:ascii="Arial" w:cs="Arial" w:eastAsia="Arial" w:hAnsi="Arial"/>
                <w:b w:val="false"/>
                <w:bCs w:val="false"/>
                <w:sz w:val="19"/>
                <w:szCs w:val="19"/>
              </w:rPr>
              <w:t xml:space="preserve">Implantar un sistema de registro objetivo y fiable. No modificar registros unilateralmente. Conservar los datos 4 años. Formar a la plantilla (tiempo computable). Consultar a la RLT. Facilitar el acceso a Inspección.</w:t>
            </w:r>
          </w:p>
        </w:tc>
      </w:tr>
      <w:tr>
        <w:tc>
          <w:tcPr>
            <w:tcW w:type="dxa" w:w="2600"/>
            <w:tcMar>
              <w:top w:type="dxa" w:w="100"/>
              <w:left w:type="dxa" w:w="120"/>
              <w:bottom w:type="dxa" w:w="100"/>
              <w:right w:type="dxa" w:w="120"/>
            </w:tcMar>
            <w:vAlign w:val="center"/>
          </w:tcPr>
          <w:p>
            <w:r>
              <w:rPr>
                <w:rFonts w:ascii="Arial" w:cs="Arial" w:eastAsia="Arial" w:hAnsi="Arial"/>
                <w:b/>
                <w:bCs/>
                <w:sz w:val="19"/>
                <w:szCs w:val="19"/>
              </w:rPr>
              <w:t xml:space="preserve">Persona trabajadora</w:t>
            </w:r>
          </w:p>
        </w:tc>
        <w:tc>
          <w:tcPr>
            <w:tcW w:type="dxa" w:w="6900"/>
            <w:tcMar>
              <w:top w:type="dxa" w:w="100"/>
              <w:left w:type="dxa" w:w="120"/>
              <w:bottom w:type="dxa" w:w="100"/>
              <w:right w:type="dxa" w:w="120"/>
            </w:tcMar>
            <w:vAlign w:val="center"/>
          </w:tcPr>
          <w:p>
            <w:r>
              <w:rPr>
                <w:rFonts w:ascii="Arial" w:cs="Arial" w:eastAsia="Arial" w:hAnsi="Arial"/>
                <w:b w:val="false"/>
                <w:bCs w:val="false"/>
                <w:sz w:val="19"/>
                <w:szCs w:val="19"/>
              </w:rPr>
              <w:t xml:space="preserve">Registrar con veracidad inicio, fin y pausas de su jornada. Comunicar errores u olvidos. Aceptar o rechazar de forma motivada las propuestas de corrección.</w:t>
            </w:r>
          </w:p>
        </w:tc>
      </w:tr>
      <w:tr>
        <w:tc>
          <w:tcPr>
            <w:tcW w:type="dxa" w:w="2600"/>
            <w:tcMar>
              <w:top w:type="dxa" w:w="100"/>
              <w:left w:type="dxa" w:w="120"/>
              <w:bottom w:type="dxa" w:w="100"/>
              <w:right w:type="dxa" w:w="120"/>
            </w:tcMar>
            <w:vAlign w:val="center"/>
          </w:tcPr>
          <w:p>
            <w:r>
              <w:rPr>
                <w:rFonts w:ascii="Arial" w:cs="Arial" w:eastAsia="Arial" w:hAnsi="Arial"/>
                <w:b/>
                <w:bCs/>
                <w:sz w:val="19"/>
                <w:szCs w:val="19"/>
              </w:rPr>
              <w:t xml:space="preserve">RLT</w:t>
            </w:r>
          </w:p>
        </w:tc>
        <w:tc>
          <w:tcPr>
            <w:tcW w:type="dxa" w:w="6900"/>
            <w:tcMar>
              <w:top w:type="dxa" w:w="100"/>
              <w:left w:type="dxa" w:w="120"/>
              <w:bottom w:type="dxa" w:w="100"/>
              <w:right w:type="dxa" w:w="120"/>
            </w:tcMar>
            <w:vAlign w:val="center"/>
          </w:tcPr>
          <w:p>
            <w:r>
              <w:rPr>
                <w:rFonts w:ascii="Arial" w:cs="Arial" w:eastAsia="Arial" w:hAnsi="Arial"/>
                <w:b w:val="false"/>
                <w:bCs w:val="false"/>
                <w:sz w:val="19"/>
                <w:szCs w:val="19"/>
              </w:rPr>
              <w:t xml:space="preserve">Supervisar el cumplimiento del sistema. Mediar en discrepancias. Mantener la confidencialidad de los datos a los que tenga acceso.</w:t>
            </w:r>
          </w:p>
        </w:tc>
      </w:tr>
      <w:tr>
        <w:tc>
          <w:tcPr>
            <w:tcW w:type="dxa" w:w="2600"/>
            <w:tcMar>
              <w:top w:type="dxa" w:w="100"/>
              <w:left w:type="dxa" w:w="120"/>
              <w:bottom w:type="dxa" w:w="100"/>
              <w:right w:type="dxa" w:w="120"/>
            </w:tcMar>
            <w:vAlign w:val="center"/>
          </w:tcPr>
          <w:p>
            <w:r>
              <w:rPr>
                <w:rFonts w:ascii="Arial" w:cs="Arial" w:eastAsia="Arial" w:hAnsi="Arial"/>
                <w:b/>
                <w:bCs/>
                <w:sz w:val="19"/>
                <w:szCs w:val="19"/>
              </w:rPr>
              <w:t xml:space="preserve">Inspección de Trabajo</w:t>
            </w:r>
          </w:p>
        </w:tc>
        <w:tc>
          <w:tcPr>
            <w:tcW w:type="dxa" w:w="6900"/>
            <w:tcMar>
              <w:top w:type="dxa" w:w="100"/>
              <w:left w:type="dxa" w:w="120"/>
              <w:bottom w:type="dxa" w:w="100"/>
              <w:right w:type="dxa" w:w="120"/>
            </w:tcMar>
            <w:vAlign w:val="center"/>
          </w:tcPr>
          <w:p>
            <w:r>
              <w:rPr>
                <w:rFonts w:ascii="Arial" w:cs="Arial" w:eastAsia="Arial" w:hAnsi="Arial"/>
                <w:b w:val="false"/>
                <w:bCs w:val="false"/>
                <w:sz w:val="19"/>
                <w:szCs w:val="19"/>
              </w:rPr>
              <w:t xml:space="preserve">Puede acceder a los registros y actuar de oficio ante posibles incumplimientos.</w:t>
            </w:r>
          </w:p>
        </w:tc>
      </w:tr>
    </w:tbl>
    <w:p>
      <w:pPr>
        <w:spacing w:after="300"/>
      </w:pPr>
    </w:p>
    <w:p>
      <w:pPr>
        <w:pBdr>
          <w:bottom w:val="single" w:color="FF5A2C" w:sz="18"/>
        </w:pBdr>
        <w:spacing w:after="300" w:before="500"/>
      </w:pPr>
      <w:r>
        <w:rPr>
          <w:rFonts w:ascii="Arial" w:cs="Arial" w:eastAsia="Arial" w:hAnsi="Arial"/>
          <w:b/>
          <w:bCs/>
          <w:color w:val="FF7D52"/>
          <w:sz w:val="32"/>
          <w:szCs w:val="32"/>
        </w:rPr>
        <w:t xml:space="preserve">  </w:t>
      </w:r>
      <w:r>
        <w:rPr>
          <w:rFonts w:ascii="Arial" w:cs="Arial" w:eastAsia="Arial" w:hAnsi="Arial"/>
          <w:b/>
          <w:bCs/>
          <w:color w:val="151210"/>
          <w:sz w:val="32"/>
          <w:szCs w:val="32"/>
        </w:rPr>
        <w:t xml:space="preserve">Tus accesos</w:t>
      </w:r>
    </w:p>
    <w:p>
      <w:pPr>
        <w:spacing w:after="300"/>
      </w:pPr>
      <w:r>
        <w:rPr>
          <w:rFonts w:ascii="Arial" w:cs="Arial" w:eastAsia="Arial" w:hAnsi="Arial"/>
          <w:color w:val="2A2724"/>
          <w:sz w:val="22"/>
          <w:szCs w:val="22"/>
        </w:rPr>
        <w:t xml:space="preserve">Esta página es para tu uso personal. No la compartas. FiChar by CalmaLogic no almacena ni conoce tu contraseña.</w:t>
      </w:r>
    </w:p>
    <w:p>
      <w:pPr>
        <w:spacing w:after="120"/>
      </w:pPr>
    </w:p>
    <w:tbl>
      <w:tblPr>
        <w:tblW w:type="dxa" w:w="9500"/>
        <w:tblBorders>
          <w:top w:val="single" w:color="auto" w:sz="4"/>
          <w:left w:val="single" w:color="auto" w:sz="4"/>
          <w:bottom w:val="single" w:color="auto" w:sz="4"/>
          <w:right w:val="single" w:color="auto" w:sz="4"/>
          <w:insideH w:val="single" w:color="auto" w:sz="4"/>
          <w:insideV w:val="single" w:color="auto" w:sz="4"/>
        </w:tblBorders>
      </w:tblPr>
      <w:tblGrid>
        <w:gridCol w:w="4200"/>
        <w:gridCol w:w="5300"/>
      </w:tblGrid>
      <w:tr>
        <w:tc>
          <w:tcPr>
            <w:tcW w:type="dxa" w:w="42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Dato</w:t>
            </w:r>
          </w:p>
        </w:tc>
        <w:tc>
          <w:tcPr>
            <w:tcW w:type="dxa" w:w="53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Anotación (guardar en lugar seguro)</w:t>
            </w:r>
          </w:p>
        </w:tc>
      </w:tr>
      <w:tr>
        <w:tc>
          <w:tcPr>
            <w:tcW w:type="dxa" w:w="4200"/>
            <w:tcMar>
              <w:top w:type="dxa" w:w="100"/>
              <w:left w:type="dxa" w:w="120"/>
              <w:bottom w:type="dxa" w:w="100"/>
              <w:right w:type="dxa" w:w="120"/>
            </w:tcMar>
            <w:vAlign w:val="center"/>
          </w:tcPr>
          <w:p>
            <w:r>
              <w:rPr>
                <w:rFonts w:ascii="Arial" w:cs="Arial" w:eastAsia="Arial" w:hAnsi="Arial"/>
                <w:b/>
                <w:bCs/>
                <w:sz w:val="19"/>
                <w:szCs w:val="19"/>
              </w:rPr>
              <w:t xml:space="preserve">Cuenta de Google (Drive) vinculada</w:t>
            </w:r>
          </w:p>
        </w:tc>
        <w:tc>
          <w:tcPr>
            <w:tcW w:type="dxa" w:w="5300"/>
            <w:tcMar>
              <w:top w:type="dxa" w:w="100"/>
              <w:left w:type="dxa" w:w="120"/>
              <w:bottom w:type="dxa" w:w="100"/>
              <w:right w:type="dxa" w:w="120"/>
            </w:tcMar>
            <w:vAlign w:val="center"/>
          </w:tcPr>
          <w:p>
            <w:r>
              <w:rPr>
                <w:rFonts w:ascii="Arial" w:cs="Arial" w:eastAsia="Arial" w:hAnsi="Arial"/>
                <w:b w:val="false"/>
                <w:bCs w:val="false"/>
                <w:sz w:val="19"/>
                <w:szCs w:val="19"/>
              </w:rPr>
              <w:t xml:space="preserve"/>
            </w:r>
          </w:p>
        </w:tc>
      </w:tr>
      <w:tr>
        <w:tc>
          <w:tcPr>
            <w:tcW w:type="dxa" w:w="4200"/>
            <w:tcMar>
              <w:top w:type="dxa" w:w="100"/>
              <w:left w:type="dxa" w:w="120"/>
              <w:bottom w:type="dxa" w:w="100"/>
              <w:right w:type="dxa" w:w="120"/>
            </w:tcMar>
            <w:vAlign w:val="center"/>
          </w:tcPr>
          <w:p>
            <w:r>
              <w:rPr>
                <w:rFonts w:ascii="Arial" w:cs="Arial" w:eastAsia="Arial" w:hAnsi="Arial"/>
                <w:b/>
                <w:bCs/>
                <w:sz w:val="19"/>
                <w:szCs w:val="19"/>
              </w:rPr>
              <w:t xml:space="preserve">Contraseña de acceso a Panel Administrador</w:t>
            </w:r>
          </w:p>
        </w:tc>
        <w:tc>
          <w:tcPr>
            <w:tcW w:type="dxa" w:w="5300"/>
            <w:tcMar>
              <w:top w:type="dxa" w:w="100"/>
              <w:left w:type="dxa" w:w="120"/>
              <w:bottom w:type="dxa" w:w="100"/>
              <w:right w:type="dxa" w:w="120"/>
            </w:tcMar>
            <w:vAlign w:val="center"/>
          </w:tcPr>
          <w:p>
            <w:r>
              <w:rPr>
                <w:rFonts w:ascii="Arial" w:cs="Arial" w:eastAsia="Arial" w:hAnsi="Arial"/>
                <w:b w:val="false"/>
                <w:bCs w:val="false"/>
                <w:sz w:val="19"/>
                <w:szCs w:val="19"/>
              </w:rPr>
              <w:t xml:space="preserve"/>
            </w:r>
          </w:p>
        </w:tc>
      </w:tr>
      <w:tr>
        <w:tc>
          <w:tcPr>
            <w:tcW w:type="dxa" w:w="4200"/>
            <w:tcMar>
              <w:top w:type="dxa" w:w="100"/>
              <w:left w:type="dxa" w:w="120"/>
              <w:bottom w:type="dxa" w:w="100"/>
              <w:right w:type="dxa" w:w="120"/>
            </w:tcMar>
            <w:vAlign w:val="center"/>
          </w:tcPr>
          <w:p>
            <w:r>
              <w:rPr>
                <w:rFonts w:ascii="Arial" w:cs="Arial" w:eastAsia="Arial" w:hAnsi="Arial"/>
                <w:b/>
                <w:bCs/>
                <w:sz w:val="19"/>
                <w:szCs w:val="19"/>
              </w:rPr>
              <w:t xml:space="preserve">Contraseña del Modo Kiosko</w:t>
            </w:r>
          </w:p>
        </w:tc>
        <w:tc>
          <w:tcPr>
            <w:tcW w:type="dxa" w:w="5300"/>
            <w:tcMar>
              <w:top w:type="dxa" w:w="100"/>
              <w:left w:type="dxa" w:w="120"/>
              <w:bottom w:type="dxa" w:w="100"/>
              <w:right w:type="dxa" w:w="120"/>
            </w:tcMar>
            <w:vAlign w:val="center"/>
          </w:tcPr>
          <w:p>
            <w:r>
              <w:rPr>
                <w:rFonts w:ascii="Arial" w:cs="Arial" w:eastAsia="Arial" w:hAnsi="Arial"/>
                <w:b w:val="false"/>
                <w:bCs w:val="false"/>
                <w:sz w:val="19"/>
                <w:szCs w:val="19"/>
              </w:rPr>
              <w:t xml:space="preserve"/>
            </w:r>
          </w:p>
        </w:tc>
      </w:tr>
      <w:tr>
        <w:tc>
          <w:tcPr>
            <w:tcW w:type="dxa" w:w="4200"/>
            <w:tcMar>
              <w:top w:type="dxa" w:w="100"/>
              <w:left w:type="dxa" w:w="120"/>
              <w:bottom w:type="dxa" w:w="100"/>
              <w:right w:type="dxa" w:w="120"/>
            </w:tcMar>
            <w:vAlign w:val="center"/>
          </w:tcPr>
          <w:p>
            <w:r>
              <w:rPr>
                <w:rFonts w:ascii="Arial" w:cs="Arial" w:eastAsia="Arial" w:hAnsi="Arial"/>
                <w:b/>
                <w:bCs/>
                <w:sz w:val="19"/>
                <w:szCs w:val="19"/>
              </w:rPr>
              <w:t xml:space="preserve">Correo autorizado</w:t>
            </w:r>
          </w:p>
        </w:tc>
        <w:tc>
          <w:tcPr>
            <w:tcW w:type="dxa" w:w="5300"/>
            <w:tcMar>
              <w:top w:type="dxa" w:w="100"/>
              <w:left w:type="dxa" w:w="120"/>
              <w:bottom w:type="dxa" w:w="100"/>
              <w:right w:type="dxa" w:w="120"/>
            </w:tcMar>
            <w:vAlign w:val="center"/>
          </w:tcPr>
          <w:p>
            <w:r>
              <w:rPr>
                <w:rFonts w:ascii="Arial" w:cs="Arial" w:eastAsia="Arial" w:hAnsi="Arial"/>
                <w:b w:val="false"/>
                <w:bCs w:val="false"/>
                <w:sz w:val="19"/>
                <w:szCs w:val="19"/>
              </w:rPr>
              <w:t xml:space="preserve"/>
            </w:r>
          </w:p>
        </w:tc>
      </w:tr>
      <w:tr>
        <w:tc>
          <w:tcPr>
            <w:tcW w:type="dxa" w:w="4200"/>
            <w:tcMar>
              <w:top w:type="dxa" w:w="100"/>
              <w:left w:type="dxa" w:w="120"/>
              <w:bottom w:type="dxa" w:w="100"/>
              <w:right w:type="dxa" w:w="120"/>
            </w:tcMar>
            <w:vAlign w:val="center"/>
          </w:tcPr>
          <w:p>
            <w:r>
              <w:rPr>
                <w:rFonts w:ascii="Arial" w:cs="Arial" w:eastAsia="Arial" w:hAnsi="Arial"/>
                <w:b/>
                <w:bCs/>
                <w:sz w:val="19"/>
                <w:szCs w:val="19"/>
              </w:rPr>
              <w:t xml:space="preserve">Persona sustituta en caso de ausencia</w:t>
            </w:r>
          </w:p>
        </w:tc>
        <w:tc>
          <w:tcPr>
            <w:tcW w:type="dxa" w:w="5300"/>
            <w:tcMar>
              <w:top w:type="dxa" w:w="100"/>
              <w:left w:type="dxa" w:w="120"/>
              <w:bottom w:type="dxa" w:w="100"/>
              <w:right w:type="dxa" w:w="120"/>
            </w:tcMar>
            <w:vAlign w:val="center"/>
          </w:tcPr>
          <w:p>
            <w:r>
              <w:rPr>
                <w:rFonts w:ascii="Arial" w:cs="Arial" w:eastAsia="Arial" w:hAnsi="Arial"/>
                <w:b w:val="false"/>
                <w:bCs w:val="false"/>
                <w:sz w:val="19"/>
                <w:szCs w:val="19"/>
              </w:rPr>
              <w:t xml:space="preserve"/>
            </w:r>
          </w:p>
        </w:tc>
      </w:tr>
      <w:tr>
        <w:tc>
          <w:tcPr>
            <w:tcW w:type="dxa" w:w="4200"/>
            <w:tcMar>
              <w:top w:type="dxa" w:w="100"/>
              <w:left w:type="dxa" w:w="120"/>
              <w:bottom w:type="dxa" w:w="100"/>
              <w:right w:type="dxa" w:w="120"/>
            </w:tcMar>
            <w:vAlign w:val="center"/>
          </w:tcPr>
          <w:p>
            <w:r>
              <w:rPr>
                <w:rFonts w:ascii="Arial" w:cs="Arial" w:eastAsia="Arial" w:hAnsi="Arial"/>
                <w:b/>
                <w:bCs/>
                <w:sz w:val="19"/>
                <w:szCs w:val="19"/>
              </w:rPr>
              <w:t xml:space="preserve">Fecha de la última revisión de accesos</w:t>
            </w:r>
          </w:p>
        </w:tc>
        <w:tc>
          <w:tcPr>
            <w:tcW w:type="dxa" w:w="5300"/>
            <w:tcMar>
              <w:top w:type="dxa" w:w="100"/>
              <w:left w:type="dxa" w:w="120"/>
              <w:bottom w:type="dxa" w:w="100"/>
              <w:right w:type="dxa" w:w="120"/>
            </w:tcMar>
            <w:vAlign w:val="center"/>
          </w:tcPr>
          <w:p>
            <w:r>
              <w:rPr>
                <w:rFonts w:ascii="Arial" w:cs="Arial" w:eastAsia="Arial" w:hAnsi="Arial"/>
                <w:b w:val="false"/>
                <w:bCs w:val="false"/>
                <w:sz w:val="19"/>
                <w:szCs w:val="19"/>
              </w:rPr>
              <w:t xml:space="preserve"/>
            </w:r>
          </w:p>
        </w:tc>
      </w:tr>
    </w:tbl>
    <w:p>
      <w:pPr>
        <w:spacing w:after="300"/>
      </w:pPr>
    </w:p>
    <w:p>
      <w:pPr>
        <w:spacing w:before="200"/>
      </w:pPr>
      <w:r>
        <w:rPr>
          <w:rFonts w:ascii="Arial" w:cs="Arial" w:eastAsia="Arial" w:hAnsi="Arial"/>
          <w:i/>
          <w:iCs/>
          <w:color w:val="736C64"/>
          <w:sz w:val="17"/>
          <w:szCs w:val="17"/>
        </w:rPr>
        <w:t xml:space="preserve">Documento de formación interna generado por FiChar by CalmaLogic. No constituye asesoramiento legal.</w:t>
      </w:r>
    </w:p>
    <w:p>
      <w:pPr>
        <w:pageBreakBefore/>
      </w:pPr>
    </w:p>
    <w:p>
      <w:pPr>
        <w:pBdr>
          <w:bottom w:val="single" w:color="FF5A2C" w:sz="18"/>
        </w:pBdr>
        <w:spacing w:after="300" w:before="500"/>
      </w:pPr>
      <w:r>
        <w:rPr>
          <w:rFonts w:ascii="Arial" w:cs="Arial" w:eastAsia="Arial" w:hAnsi="Arial"/>
          <w:b/>
          <w:bCs/>
          <w:color w:val="FF7D52"/>
          <w:sz w:val="32"/>
          <w:szCs w:val="32"/>
        </w:rPr>
        <w:t xml:space="preserve">ADENDA  </w:t>
      </w:r>
      <w:r>
        <w:rPr>
          <w:rFonts w:ascii="Arial" w:cs="Arial" w:eastAsia="Arial" w:hAnsi="Arial"/>
          <w:b/>
          <w:bCs/>
          <w:color w:val="151210"/>
          <w:sz w:val="32"/>
          <w:szCs w:val="32"/>
        </w:rPr>
        <w:t xml:space="preserve">Marco legal aplicable</w:t>
      </w:r>
    </w:p>
    <w:p>
      <w:pPr>
        <w:spacing w:after="300"/>
      </w:pPr>
      <w:r>
        <w:rPr>
          <w:rFonts w:ascii="Arial" w:cs="Arial" w:eastAsia="Arial" w:hAnsi="Arial"/>
          <w:color w:val="2A2724"/>
          <w:sz w:val="22"/>
          <w:szCs w:val="22"/>
        </w:rPr>
        <w:t xml:space="preserve">Resumen de todas las normas que aplican a esta aplicación y a cómo se usa, con el artículo exacto de cada una y una explicación breve de qué significa en la práctica. No sustituye el asesoramiento de un profesional del derecho laboral.</w:t>
      </w:r>
    </w:p>
    <w:p>
      <w:pPr>
        <w:spacing w:after="20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Obligación general de registrar la jornada</w:t>
            </w:r>
          </w:p>
          <w:p>
            <w:pPr>
              <w:spacing w:after="90"/>
            </w:pPr>
            <w:r>
              <w:rPr>
                <w:rFonts w:ascii="Arial" w:cs="Arial" w:eastAsia="Arial" w:hAnsi="Arial"/>
                <w:b/>
                <w:bCs/>
                <w:i/>
                <w:iCs/>
                <w:color w:val="F0451A"/>
                <w:sz w:val="18"/>
                <w:szCs w:val="18"/>
              </w:rPr>
              <w:t xml:space="preserve">Real Decreto-ley 8/2019, de 8 de marzo — añade el apartado 9 al artículo 34 del Estatuto de los Trabajadores</w:t>
            </w:r>
          </w:p>
          <w:p>
            <w:r>
              <w:rPr>
                <w:rFonts w:ascii="Arial" w:cs="Arial" w:eastAsia="Arial" w:hAnsi="Arial"/>
                <w:color w:val="2A2724"/>
                <w:sz w:val="20"/>
                <w:szCs w:val="20"/>
              </w:rPr>
              <w:t xml:space="preserve">Desde el 12 de mayo de 2019, todas las empresas deben registrar diariamente el horario de entrada y salida de cada persona trabajadora, sin excepción por tamaño ni sector. El registro debe ser objetivo, fiable y accesible.</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Conservación de los registros durante 4 años</w:t>
            </w:r>
          </w:p>
          <w:p>
            <w:pPr>
              <w:spacing w:after="90"/>
            </w:pPr>
            <w:r>
              <w:rPr>
                <w:rFonts w:ascii="Arial" w:cs="Arial" w:eastAsia="Arial" w:hAnsi="Arial"/>
                <w:b/>
                <w:bCs/>
                <w:i/>
                <w:iCs/>
                <w:color w:val="F0451A"/>
                <w:sz w:val="18"/>
                <w:szCs w:val="18"/>
              </w:rPr>
              <w:t xml:space="preserve">Art. 34.9 ET, en desarrollo del RD-ley 8/2019</w:t>
            </w:r>
          </w:p>
          <w:p>
            <w:r>
              <w:rPr>
                <w:rFonts w:ascii="Arial" w:cs="Arial" w:eastAsia="Arial" w:hAnsi="Arial"/>
                <w:color w:val="2A2724"/>
                <w:sz w:val="20"/>
                <w:szCs w:val="20"/>
              </w:rPr>
              <w:t xml:space="preserve">Los registros deben conservarse un mínimo de 4 años y estar a disposición de las personas trabajadoras, su representación legal (RLT) e Inspección de Trabajo en cualquier momento.</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Descanso mínimo entre jornadas</w:t>
            </w:r>
          </w:p>
          <w:p>
            <w:pPr>
              <w:spacing w:after="90"/>
            </w:pPr>
            <w:r>
              <w:rPr>
                <w:rFonts w:ascii="Arial" w:cs="Arial" w:eastAsia="Arial" w:hAnsi="Arial"/>
                <w:b/>
                <w:bCs/>
                <w:i/>
                <w:iCs/>
                <w:color w:val="F0451A"/>
                <w:sz w:val="18"/>
                <w:szCs w:val="18"/>
              </w:rPr>
              <w:t xml:space="preserve">Art. 34.3 del Estatuto de los Trabajadores</w:t>
            </w:r>
          </w:p>
          <w:p>
            <w:r>
              <w:rPr>
                <w:rFonts w:ascii="Arial" w:cs="Arial" w:eastAsia="Arial" w:hAnsi="Arial"/>
                <w:color w:val="2A2724"/>
                <w:sz w:val="20"/>
                <w:szCs w:val="20"/>
              </w:rPr>
              <w:t xml:space="preserve">Entre el final de una jornada y el inicio de la siguiente deben mediar, como mínimo, 12 horas. FiChar detecta automáticamente los casos en que no se cumple y lo notifica, sin bloquear el fichaje.</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Pausa obligatoria en jornada continuada</w:t>
            </w:r>
          </w:p>
          <w:p>
            <w:pPr>
              <w:spacing w:after="90"/>
            </w:pPr>
            <w:r>
              <w:rPr>
                <w:rFonts w:ascii="Arial" w:cs="Arial" w:eastAsia="Arial" w:hAnsi="Arial"/>
                <w:b/>
                <w:bCs/>
                <w:i/>
                <w:iCs/>
                <w:color w:val="F0451A"/>
                <w:sz w:val="18"/>
                <w:szCs w:val="18"/>
              </w:rPr>
              <w:t xml:space="preserve">Art. 34.4 del Estatuto de los Trabajadores</w:t>
            </w:r>
          </w:p>
          <w:p>
            <w:r>
              <w:rPr>
                <w:rFonts w:ascii="Arial" w:cs="Arial" w:eastAsia="Arial" w:hAnsi="Arial"/>
                <w:color w:val="2A2724"/>
                <w:sz w:val="20"/>
                <w:szCs w:val="20"/>
              </w:rPr>
              <w:t xml:space="preserve">Si la jornada diaria continuada supera las 6 horas, debe haber un descanso de al menos 15 minutos. FiChar lo detecta a partir de los fichajes de "descanso" y "reanudar", y avisa si no se cumple.</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Horas extraordinarias: límite y compensación</w:t>
            </w:r>
          </w:p>
          <w:p>
            <w:pPr>
              <w:spacing w:after="90"/>
            </w:pPr>
            <w:r>
              <w:rPr>
                <w:rFonts w:ascii="Arial" w:cs="Arial" w:eastAsia="Arial" w:hAnsi="Arial"/>
                <w:b/>
                <w:bCs/>
                <w:i/>
                <w:iCs/>
                <w:color w:val="F0451A"/>
                <w:sz w:val="18"/>
                <w:szCs w:val="18"/>
              </w:rPr>
              <w:t xml:space="preserve">Art. 35 del Estatuto de los Trabajadores</w:t>
            </w:r>
          </w:p>
          <w:p>
            <w:r>
              <w:rPr>
                <w:rFonts w:ascii="Arial" w:cs="Arial" w:eastAsia="Arial" w:hAnsi="Arial"/>
                <w:color w:val="2A2724"/>
                <w:sz w:val="20"/>
                <w:szCs w:val="20"/>
              </w:rPr>
              <w:t xml:space="preserve">Máximo de 80 horas extraordinarias al año para jornada completa, salvo fuerza mayor. Se compensan por pago o por descanso equivalente, según lo fije el convenio colectivo o, en su defecto, el pacto individual. Sin pacto expreso, la ley entiende que se compensan en descanso dentro de los 4 meses siguientes a su realización — el valor por defecto de FiChar.</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Horas complementarias en jornada parcial</w:t>
            </w:r>
          </w:p>
          <w:p>
            <w:pPr>
              <w:spacing w:after="90"/>
            </w:pPr>
            <w:r>
              <w:rPr>
                <w:rFonts w:ascii="Arial" w:cs="Arial" w:eastAsia="Arial" w:hAnsi="Arial"/>
                <w:b/>
                <w:bCs/>
                <w:i/>
                <w:iCs/>
                <w:color w:val="F0451A"/>
                <w:sz w:val="18"/>
                <w:szCs w:val="18"/>
              </w:rPr>
              <w:t xml:space="preserve">Art. 12.5 del Estatuto de los Trabajadores</w:t>
            </w:r>
          </w:p>
          <w:p>
            <w:r>
              <w:rPr>
                <w:rFonts w:ascii="Arial" w:cs="Arial" w:eastAsia="Arial" w:hAnsi="Arial"/>
                <w:color w:val="2A2724"/>
                <w:sz w:val="20"/>
                <w:szCs w:val="20"/>
              </w:rPr>
              <w:t xml:space="preserve">Las personas con contrato a tiempo parcial solo pueden realizar horas adicionales si existe un pacto de horas complementarias firmado, con su propio límite pactado. Se retribuyen como horas ordinarias, no como extraordinarias.</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Protección de datos personales</w:t>
            </w:r>
          </w:p>
          <w:p>
            <w:pPr>
              <w:spacing w:after="90"/>
            </w:pPr>
            <w:r>
              <w:rPr>
                <w:rFonts w:ascii="Arial" w:cs="Arial" w:eastAsia="Arial" w:hAnsi="Arial"/>
                <w:b/>
                <w:bCs/>
                <w:i/>
                <w:iCs/>
                <w:color w:val="F0451A"/>
                <w:sz w:val="18"/>
                <w:szCs w:val="18"/>
              </w:rPr>
              <w:t xml:space="preserve">Reglamento (UE) 2016/679 (RGPD) y Ley Orgánica 3/2018 (LOPD-GDD)</w:t>
            </w:r>
          </w:p>
          <w:p>
            <w:r>
              <w:rPr>
                <w:rFonts w:ascii="Arial" w:cs="Arial" w:eastAsia="Arial" w:hAnsi="Arial"/>
                <w:color w:val="2A2724"/>
                <w:sz w:val="20"/>
                <w:szCs w:val="20"/>
              </w:rPr>
              <w:t xml:space="preserve">Los datos de fichaje, incluida la geolocalización si se activa, solo pueden usarse para el control horario, aplicando los principios de minimización y proporcionalidad. No se ceden a terceros salvo obligación legal.</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Restricción del uso de biometría</w:t>
            </w:r>
          </w:p>
          <w:p>
            <w:pPr>
              <w:spacing w:after="90"/>
            </w:pPr>
            <w:r>
              <w:rPr>
                <w:rFonts w:ascii="Arial" w:cs="Arial" w:eastAsia="Arial" w:hAnsi="Arial"/>
                <w:b/>
                <w:bCs/>
                <w:i/>
                <w:iCs/>
                <w:color w:val="F0451A"/>
                <w:sz w:val="18"/>
                <w:szCs w:val="18"/>
              </w:rPr>
              <w:t xml:space="preserve">Criterio de la Agencia Española de Protección de Datos (AEPD), en aplicación del RGPD</w:t>
            </w:r>
          </w:p>
          <w:p>
            <w:r>
              <w:rPr>
                <w:rFonts w:ascii="Arial" w:cs="Arial" w:eastAsia="Arial" w:hAnsi="Arial"/>
                <w:color w:val="2A2724"/>
                <w:sz w:val="20"/>
                <w:szCs w:val="20"/>
              </w:rPr>
              <w:t xml:space="preserve">Los datos biométricos (huella dactilar, reconocimiento facial) son una categoría especial de datos de alto riesgo. Debe existir una alternativa que no dependa de ellos. FiChar utiliza email, PIN y código QR — nunca biometría.</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Régimen sancionador</w:t>
            </w:r>
          </w:p>
          <w:p>
            <w:pPr>
              <w:spacing w:after="90"/>
            </w:pPr>
            <w:r>
              <w:rPr>
                <w:rFonts w:ascii="Arial" w:cs="Arial" w:eastAsia="Arial" w:hAnsi="Arial"/>
                <w:b/>
                <w:bCs/>
                <w:i/>
                <w:iCs/>
                <w:color w:val="F0451A"/>
                <w:sz w:val="18"/>
                <w:szCs w:val="18"/>
              </w:rPr>
              <w:t xml:space="preserve">Ley sobre Infracciones y Sanciones en el Orden Social (LISOS)</w:t>
            </w:r>
          </w:p>
          <w:p>
            <w:r>
              <w:rPr>
                <w:rFonts w:ascii="Arial" w:cs="Arial" w:eastAsia="Arial" w:hAnsi="Arial"/>
                <w:color w:val="2A2724"/>
                <w:sz w:val="20"/>
                <w:szCs w:val="20"/>
              </w:rPr>
              <w:t xml:space="preserve">El incumplimiento del registro de jornada se considera infracción grave, con sanciones económicas por empresa que pueden alcanzar varios miles de euros. Los borradores del nuevo Real Decreto (ver más abajo) prevén endurecer este régimen, calculando la sanción por cada trabajador afectado.</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Nuevo Real Decreto de registro horario digital (en tramitación)</w:t>
            </w:r>
          </w:p>
          <w:p>
            <w:pPr>
              <w:spacing w:after="90"/>
            </w:pPr>
            <w:r>
              <w:rPr>
                <w:rFonts w:ascii="Arial" w:cs="Arial" w:eastAsia="Arial" w:hAnsi="Arial"/>
                <w:b/>
                <w:bCs/>
                <w:i/>
                <w:iCs/>
                <w:color w:val="F0451A"/>
                <w:sz w:val="18"/>
                <w:szCs w:val="18"/>
              </w:rPr>
              <w:t xml:space="preserve">Proyecto de Real Decreto por el que se desarrolla el art. 34.9 ET — pendiente de publicación en el BOE</w:t>
            </w:r>
          </w:p>
          <w:p>
            <w:r>
              <w:rPr>
                <w:rFonts w:ascii="Arial" w:cs="Arial" w:eastAsia="Arial" w:hAnsi="Arial"/>
                <w:color w:val="2A2724"/>
                <w:sz w:val="20"/>
                <w:szCs w:val="20"/>
              </w:rPr>
              <w:t xml:space="preserve">Convertirá el registro digital en el único formato válido (adiós papel y Excel), reforzará la trazabilidad e inmutabilidad de los registros, y exigirá que la Inspección de Trabajo pueda acceder a ellos de forma remota mediante un protocolo técnico de interoperabilidad. Su aprobación se aplazó en julio de 2026 para reelaborar el texto, con nueva fecha prevista en septiembre de 2026. Las especificaciones técnicas exactas de ese protocolo aún no se han publicado a fecha de este documento.</w:t>
            </w:r>
          </w:p>
        </w:tc>
      </w:tr>
    </w:tbl>
    <w:p>
      <w:pPr>
        <w:spacing w:after="260"/>
      </w:pPr>
    </w:p>
    <w:tbl>
      <w:tblPr>
        <w:tblW w:type="dxa" w:w="9500"/>
        <w:tblBorders>
          <w:top w:val="none"/>
          <w:left w:val="single" w:color="2E9E5B" w:sz="24"/>
          <w:bottom w:val="none"/>
          <w:right w:val="none"/>
          <w:insideH w:val="none"/>
          <w:insideV w:val="none"/>
        </w:tblBorders>
      </w:tblPr>
      <w:tblGrid>
        <w:gridCol w:w="9500"/>
      </w:tblGrid>
      <w:tr>
        <w:tc>
          <w:tcPr>
            <w:tcW w:type="dxa" w:w="9500"/>
            <w:shd w:fill="F0FDF4" w:val="clear"/>
            <w:tcMar>
              <w:top w:type="dxa" w:w="140"/>
              <w:left w:type="dxa" w:w="220"/>
              <w:bottom w:type="dxa" w:w="140"/>
              <w:right w:type="dxa" w:w="220"/>
            </w:tcMar>
          </w:tcPr>
          <w:p>
            <w:r>
              <w:rPr>
                <w:rFonts w:ascii="Arial" w:cs="Arial" w:eastAsia="Arial" w:hAnsi="Arial"/>
                <w:color w:val="2A2724"/>
                <w:sz w:val="20"/>
                <w:szCs w:val="20"/>
              </w:rPr>
              <w:t xml:space="preserve">Este documento está actualizado y vigente a fecha de 15 de agosto de 2026. En cuanto se publique el nuevo Real Decreto o se conozcan sus especificaciones técnicas definitivas, este apartado se revisará y se os hará llegar la versión actualizada.</w:t>
            </w:r>
          </w:p>
        </w:tc>
      </w:tr>
    </w:tbl>
    <w:p>
      <w:pPr>
        <w:spacing w:after="200"/>
      </w:pPr>
    </w:p>
    <w:p>
      <w:pPr>
        <w:spacing w:before="200"/>
      </w:pPr>
      <w:r>
        <w:rPr>
          <w:rFonts w:ascii="Arial" w:cs="Arial" w:eastAsia="Arial" w:hAnsi="Arial"/>
          <w:i/>
          <w:iCs/>
          <w:color w:val="736C64"/>
          <w:sz w:val="17"/>
          <w:szCs w:val="17"/>
        </w:rPr>
        <w:t xml:space="preserve">Este resumen tiene finalidad informativa y no constituye asesoramiento legal. Para cualquier duda sobre la aplicación de esta normativa a un caso concreto, consulta con un profesional del derecho laboral o con tu representación legal de los trabajadores.</w:t>
      </w:r>
    </w:p>
    <w:sectPr>
      <w:headerReference w:type="default" r:id="rId7"/>
      <w:footerReference w:type="default" r:id="rId8"/>
      <w:pgSz w:w="11906" w:h="16838" w:orient="portrait"/>
      <w:pgMar w:top="900" w:right="850" w:bottom="90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736C64"/>
        <w:sz w:val="16"/>
        <w:szCs w:val="16"/>
      </w:rPr>
      <w:t xml:space="preserve">Página </w:t>
    </w:r>
    <w:r>
      <w:rPr>
        <w:rFonts w:ascii="Arial" w:cs="Arial" w:eastAsia="Arial" w:hAnsi="Arial"/>
        <w:color w:val="736C64"/>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color w:val="736C64"/>
        <w:sz w:val="16"/>
        <w:szCs w:val="16"/>
      </w:rPr>
      <w:t xml:space="preserve">FiChar by CalmaLogic — Manual de Administrador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2026-08-15T22:08:02.971Z</dcterms:created>
  <dcterms:modified xsi:type="dcterms:W3CDTF">2026-08-15T22:08:02.987Z</dcterms:modified>
</cp:coreProperties>
</file>

<file path=docProps/custom.xml><?xml version="1.0" encoding="utf-8"?>
<Properties xmlns="http://schemas.openxmlformats.org/officeDocument/2006/custom-properties" xmlns:vt="http://schemas.openxmlformats.org/officeDocument/2006/docPropsVTypes"/>
</file>